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10B63" w14:textId="4D01E8D7" w:rsidR="00F7249C" w:rsidRDefault="00313C0D" w:rsidP="002E6B69">
      <w:pPr>
        <w:spacing w:line="480" w:lineRule="auto"/>
        <w:jc w:val="center"/>
        <w:rPr>
          <w:b/>
        </w:rPr>
      </w:pPr>
      <w:r>
        <w:rPr>
          <w:b/>
        </w:rPr>
        <w:t>Supplement 2</w:t>
      </w:r>
      <w:r w:rsidR="00F82B79">
        <w:rPr>
          <w:b/>
        </w:rPr>
        <w:t xml:space="preserve"> </w:t>
      </w:r>
    </w:p>
    <w:p w14:paraId="5A4CA760" w14:textId="77777777" w:rsidR="00F82B79" w:rsidRDefault="00F82B79" w:rsidP="002E6B69">
      <w:pPr>
        <w:spacing w:line="480" w:lineRule="auto"/>
        <w:jc w:val="center"/>
        <w:rPr>
          <w:b/>
        </w:rPr>
      </w:pPr>
      <w:r>
        <w:rPr>
          <w:b/>
        </w:rPr>
        <w:t xml:space="preserve">Study 3:  </w:t>
      </w:r>
      <w:r w:rsidR="00F7249C">
        <w:rPr>
          <w:b/>
        </w:rPr>
        <w:t>Moderating Effect</w:t>
      </w:r>
      <w:r w:rsidR="002E6B69">
        <w:rPr>
          <w:b/>
        </w:rPr>
        <w:t>s of PCBC Dimensions</w:t>
      </w:r>
      <w:r w:rsidR="00F7249C">
        <w:rPr>
          <w:b/>
        </w:rPr>
        <w:t xml:space="preserve"> on Post-Conflict Outcomes </w:t>
      </w:r>
    </w:p>
    <w:p w14:paraId="594E5421" w14:textId="49BDECE2" w:rsidR="002E6B69" w:rsidRPr="002E6B69" w:rsidRDefault="00F7249C" w:rsidP="002E6B69">
      <w:pPr>
        <w:spacing w:line="480" w:lineRule="auto"/>
        <w:jc w:val="center"/>
        <w:rPr>
          <w:b/>
        </w:rPr>
      </w:pPr>
      <w:bookmarkStart w:id="0" w:name="_GoBack"/>
      <w:bookmarkEnd w:id="0"/>
      <w:r>
        <w:rPr>
          <w:b/>
        </w:rPr>
        <w:t>in Cohabiting Couples</w:t>
      </w:r>
    </w:p>
    <w:p w14:paraId="67C228F1" w14:textId="3C77ABD0" w:rsidR="00324823" w:rsidRDefault="00867CAD" w:rsidP="00DC1EB1">
      <w:pPr>
        <w:spacing w:line="480" w:lineRule="auto"/>
      </w:pPr>
      <w:r>
        <w:tab/>
      </w:r>
      <w:r w:rsidR="00DC1EB1">
        <w:t>In our main analyses, we controlled for several variables: actors’ and partners’ respective previous-day dependent variable scores, global relationship satisfaction, global demand/withdraw communication, global constructive communication, observed conflict management</w:t>
      </w:r>
      <w:r w:rsidR="00072807">
        <w:t xml:space="preserve"> </w:t>
      </w:r>
      <w:r w:rsidR="00072807">
        <w:rPr>
          <w:rFonts w:eastAsia="Times New Roman"/>
          <w:color w:val="000000" w:themeColor="text1"/>
        </w:rPr>
        <w:t>(escalation and lack of negotiation),</w:t>
      </w:r>
      <w:r w:rsidR="00DC1EB1">
        <w:t xml:space="preserve"> the total number of conflicts across the diary period, and conflict seriousness. In addition to their function as controls, we </w:t>
      </w:r>
      <w:r w:rsidR="006B3216">
        <w:t xml:space="preserve">tested whether the </w:t>
      </w:r>
      <w:r w:rsidR="00DC1EB1">
        <w:t xml:space="preserve">actor’s global relationship satisfaction, the total number of conflicts across the diary, and conflict seriousness </w:t>
      </w:r>
      <w:r w:rsidR="006B3216">
        <w:t xml:space="preserve">might interact with the PCBC post-conflict behaviors to predict </w:t>
      </w:r>
      <w:r w:rsidR="00886E40">
        <w:t xml:space="preserve">post-conflict </w:t>
      </w:r>
      <w:r w:rsidR="006B3216">
        <w:t xml:space="preserve">outcomes.  </w:t>
      </w:r>
      <w:r w:rsidR="00DC1EB1">
        <w:t>Accordingly, we conducted a</w:t>
      </w:r>
      <w:r>
        <w:t xml:space="preserve"> series of APIMs </w:t>
      </w:r>
      <w:r w:rsidR="00DC1EB1">
        <w:t xml:space="preserve">to test </w:t>
      </w:r>
      <w:r>
        <w:t xml:space="preserve">whether associations between PCBC dimensions and the post-conflict recovery indices </w:t>
      </w:r>
      <w:r w:rsidR="00E60890">
        <w:t xml:space="preserve">(positive and negative affect, daily relationship satisfaction, and two dimensions of intimacy) </w:t>
      </w:r>
      <w:r>
        <w:t xml:space="preserve">were moderated by global relationship satisfaction, the total number of conflicts across the diary period, or the seriousness of the conflict. </w:t>
      </w:r>
      <w:r w:rsidR="004F36D9">
        <w:t xml:space="preserve">In a series of </w:t>
      </w:r>
      <w:r w:rsidR="00E603E9">
        <w:t>six</w:t>
      </w:r>
      <w:r w:rsidR="00A96C0B">
        <w:t xml:space="preserve"> </w:t>
      </w:r>
      <w:r w:rsidR="004F36D9">
        <w:t>multilevel models, w</w:t>
      </w:r>
      <w:r>
        <w:t xml:space="preserve">e regressed positive affect, negative affect, depressive symptoms, </w:t>
      </w:r>
      <w:r w:rsidR="00955DF1">
        <w:t xml:space="preserve">daily </w:t>
      </w:r>
      <w:r>
        <w:t>relationship satisfaction, Intimacy-Self Disclosure (Intimacy-SD), and Intimacy-Understanding and Appreciation (Intimacy-UA) on the following predictors:</w:t>
      </w:r>
    </w:p>
    <w:p w14:paraId="1EA9A3CF" w14:textId="77777777" w:rsidR="00867CAD" w:rsidRDefault="00867CAD" w:rsidP="00867CAD">
      <w:pPr>
        <w:spacing w:line="480" w:lineRule="auto"/>
        <w:ind w:firstLine="720"/>
        <w:outlineLvl w:val="0"/>
        <w:rPr>
          <w:rFonts w:eastAsia="Times New Roman"/>
          <w:color w:val="000000" w:themeColor="text1"/>
        </w:rPr>
      </w:pPr>
      <w:r>
        <w:t xml:space="preserve">1) The intercept, reflecting </w:t>
      </w:r>
      <w:r>
        <w:rPr>
          <w:rFonts w:eastAsia="Times New Roman"/>
          <w:color w:val="000000" w:themeColor="text1"/>
        </w:rPr>
        <w:t>the value of the dependent variable on days when the couple had no conflict;</w:t>
      </w:r>
    </w:p>
    <w:p w14:paraId="6CFDF225" w14:textId="7BB05500" w:rsidR="00867CAD" w:rsidRDefault="00867CAD" w:rsidP="00867CAD">
      <w:pPr>
        <w:spacing w:line="480" w:lineRule="auto"/>
        <w:outlineLvl w:val="0"/>
        <w:rPr>
          <w:rFonts w:eastAsia="Times New Roman"/>
          <w:color w:val="000000" w:themeColor="text1"/>
        </w:rPr>
      </w:pPr>
      <w:r>
        <w:rPr>
          <w:rFonts w:eastAsia="Times New Roman"/>
          <w:color w:val="000000" w:themeColor="text1"/>
        </w:rPr>
        <w:tab/>
        <w:t xml:space="preserve">2) control variables equal to </w:t>
      </w:r>
      <w:r w:rsidR="00A3719B">
        <w:rPr>
          <w:rFonts w:eastAsia="Times New Roman"/>
          <w:color w:val="000000" w:themeColor="text1"/>
        </w:rPr>
        <w:t xml:space="preserve">(a) </w:t>
      </w:r>
      <w:r>
        <w:rPr>
          <w:rFonts w:eastAsia="Times New Roman"/>
          <w:color w:val="000000" w:themeColor="text1"/>
        </w:rPr>
        <w:t>actors’ and partners’ respective previous</w:t>
      </w:r>
      <w:r w:rsidR="00A3719B">
        <w:rPr>
          <w:rFonts w:eastAsia="Times New Roman"/>
          <w:color w:val="000000" w:themeColor="text1"/>
        </w:rPr>
        <w:t>-day dependent variable scores, (b) global demand/withdraw communication, (c) global constructive communication, (d) and observed conflict management;</w:t>
      </w:r>
    </w:p>
    <w:p w14:paraId="653F6D40" w14:textId="61745DFD" w:rsidR="00867CAD" w:rsidRDefault="00867CAD" w:rsidP="005E10D8">
      <w:pPr>
        <w:spacing w:line="480" w:lineRule="auto"/>
        <w:outlineLvl w:val="0"/>
        <w:rPr>
          <w:rFonts w:eastAsia="Times New Roman"/>
          <w:color w:val="000000" w:themeColor="text1"/>
        </w:rPr>
      </w:pPr>
      <w:r>
        <w:rPr>
          <w:rFonts w:eastAsia="Times New Roman"/>
          <w:color w:val="000000" w:themeColor="text1"/>
        </w:rPr>
        <w:lastRenderedPageBreak/>
        <w:tab/>
        <w:t xml:space="preserve">3) </w:t>
      </w:r>
      <w:proofErr w:type="gramStart"/>
      <w:r w:rsidR="00A3719B">
        <w:rPr>
          <w:rFonts w:eastAsia="Times New Roman"/>
          <w:color w:val="000000" w:themeColor="text1"/>
        </w:rPr>
        <w:t>main</w:t>
      </w:r>
      <w:proofErr w:type="gramEnd"/>
      <w:r w:rsidR="00A3719B">
        <w:rPr>
          <w:rFonts w:eastAsia="Times New Roman"/>
          <w:color w:val="000000" w:themeColor="text1"/>
        </w:rPr>
        <w:t xml:space="preserve"> effects for each moderator:</w:t>
      </w:r>
      <w:r w:rsidR="005F393C">
        <w:rPr>
          <w:rFonts w:eastAsia="Times New Roman"/>
          <w:color w:val="000000" w:themeColor="text1"/>
        </w:rPr>
        <w:t xml:space="preserve"> global relationship satisfaction, the total number of conflicts across the diary period, </w:t>
      </w:r>
      <w:r w:rsidR="00A3719B">
        <w:rPr>
          <w:rFonts w:eastAsia="Times New Roman"/>
          <w:color w:val="000000" w:themeColor="text1"/>
        </w:rPr>
        <w:t xml:space="preserve">and </w:t>
      </w:r>
      <w:r w:rsidR="005F393C">
        <w:rPr>
          <w:rFonts w:eastAsia="Times New Roman"/>
          <w:color w:val="000000" w:themeColor="text1"/>
        </w:rPr>
        <w:t>conflict seriousness as bo</w:t>
      </w:r>
      <w:r w:rsidR="00A3719B">
        <w:rPr>
          <w:rFonts w:eastAsia="Times New Roman"/>
          <w:color w:val="000000" w:themeColor="text1"/>
        </w:rPr>
        <w:t>th between and within effect</w:t>
      </w:r>
      <w:r w:rsidR="005E10D8">
        <w:rPr>
          <w:rFonts w:eastAsia="Times New Roman"/>
          <w:color w:val="000000" w:themeColor="text1"/>
        </w:rPr>
        <w:t>s</w:t>
      </w:r>
      <w:r w:rsidR="00A3719B">
        <w:rPr>
          <w:rFonts w:eastAsia="Times New Roman"/>
          <w:color w:val="000000" w:themeColor="text1"/>
        </w:rPr>
        <w:t>;</w:t>
      </w:r>
    </w:p>
    <w:p w14:paraId="4D4F1B2C" w14:textId="238E26A0" w:rsidR="00867CAD" w:rsidRDefault="005F393C" w:rsidP="00867CAD">
      <w:pPr>
        <w:spacing w:line="480" w:lineRule="auto"/>
        <w:outlineLvl w:val="0"/>
        <w:rPr>
          <w:rFonts w:eastAsia="Times New Roman"/>
          <w:color w:val="000000" w:themeColor="text1"/>
        </w:rPr>
      </w:pPr>
      <w:r>
        <w:rPr>
          <w:rFonts w:eastAsia="Times New Roman"/>
          <w:color w:val="000000" w:themeColor="text1"/>
        </w:rPr>
        <w:tab/>
        <w:t>4</w:t>
      </w:r>
      <w:r w:rsidR="00867CAD">
        <w:rPr>
          <w:rFonts w:eastAsia="Times New Roman"/>
          <w:color w:val="000000" w:themeColor="text1"/>
        </w:rPr>
        <w:t>) the main effects for each of the four PCBC dimensions, actor’s report, including between- and within-participant effects;</w:t>
      </w:r>
    </w:p>
    <w:p w14:paraId="6ED2488A" w14:textId="1C61F672" w:rsidR="00867CAD" w:rsidRPr="00AD77AF" w:rsidRDefault="005F393C" w:rsidP="00867CAD">
      <w:pPr>
        <w:spacing w:line="480" w:lineRule="auto"/>
        <w:outlineLvl w:val="0"/>
        <w:rPr>
          <w:rFonts w:eastAsia="Times New Roman"/>
          <w:color w:val="000000" w:themeColor="text1"/>
        </w:rPr>
      </w:pPr>
      <w:r>
        <w:rPr>
          <w:rFonts w:eastAsia="Times New Roman"/>
          <w:color w:val="000000" w:themeColor="text1"/>
        </w:rPr>
        <w:tab/>
        <w:t>5</w:t>
      </w:r>
      <w:r w:rsidR="00867CAD">
        <w:rPr>
          <w:rFonts w:eastAsia="Times New Roman"/>
          <w:color w:val="000000" w:themeColor="text1"/>
        </w:rPr>
        <w:t>) the main effects for each of the four PCBC dimensions, partner’s report, separated into between- and within-partner effects;</w:t>
      </w:r>
    </w:p>
    <w:p w14:paraId="1435C302" w14:textId="1E811DC7" w:rsidR="00867CAD" w:rsidRDefault="00867CAD" w:rsidP="00504FE7">
      <w:pPr>
        <w:spacing w:line="480" w:lineRule="auto"/>
        <w:outlineLvl w:val="0"/>
        <w:rPr>
          <w:rFonts w:eastAsia="Times New Roman"/>
          <w:color w:val="000000" w:themeColor="text1"/>
        </w:rPr>
      </w:pPr>
      <w:r>
        <w:rPr>
          <w:rFonts w:eastAsia="Times New Roman"/>
          <w:color w:val="000000" w:themeColor="text1"/>
        </w:rPr>
        <w:tab/>
        <w:t xml:space="preserve">6) </w:t>
      </w:r>
      <w:proofErr w:type="gramStart"/>
      <w:r>
        <w:rPr>
          <w:rFonts w:eastAsia="Times New Roman"/>
          <w:color w:val="000000" w:themeColor="text1"/>
        </w:rPr>
        <w:t>the</w:t>
      </w:r>
      <w:proofErr w:type="gramEnd"/>
      <w:r>
        <w:rPr>
          <w:rFonts w:eastAsia="Times New Roman"/>
          <w:color w:val="000000" w:themeColor="text1"/>
        </w:rPr>
        <w:t xml:space="preserve"> interaction between each actor-reported PCBC dimension with </w:t>
      </w:r>
      <w:r w:rsidR="005F393C">
        <w:rPr>
          <w:rFonts w:eastAsia="Times New Roman"/>
          <w:color w:val="000000" w:themeColor="text1"/>
        </w:rPr>
        <w:t xml:space="preserve">the respective moderator: global relationship satisfaction, the total number of conflicts </w:t>
      </w:r>
      <w:r w:rsidR="00350D83">
        <w:rPr>
          <w:rFonts w:eastAsia="Times New Roman"/>
          <w:color w:val="000000" w:themeColor="text1"/>
        </w:rPr>
        <w:t xml:space="preserve">actors reported </w:t>
      </w:r>
      <w:r w:rsidR="005F393C">
        <w:rPr>
          <w:rFonts w:eastAsia="Times New Roman"/>
          <w:color w:val="000000" w:themeColor="text1"/>
        </w:rPr>
        <w:t>across the diary period, or the seriousness of the conflict</w:t>
      </w:r>
      <w:r w:rsidR="00CD33EC">
        <w:rPr>
          <w:rFonts w:eastAsia="Times New Roman"/>
          <w:color w:val="000000" w:themeColor="text1"/>
        </w:rPr>
        <w:t xml:space="preserve"> (12 interactions</w:t>
      </w:r>
      <w:r w:rsidR="00504FE7">
        <w:rPr>
          <w:rFonts w:eastAsia="Times New Roman"/>
          <w:color w:val="000000" w:themeColor="text1"/>
        </w:rPr>
        <w:t xml:space="preserve"> per model</w:t>
      </w:r>
      <w:r w:rsidR="00CD33EC">
        <w:rPr>
          <w:rFonts w:eastAsia="Times New Roman"/>
          <w:color w:val="000000" w:themeColor="text1"/>
        </w:rPr>
        <w:t>)</w:t>
      </w:r>
      <w:r>
        <w:rPr>
          <w:rFonts w:eastAsia="Times New Roman"/>
          <w:color w:val="000000" w:themeColor="text1"/>
        </w:rPr>
        <w:t>;</w:t>
      </w:r>
    </w:p>
    <w:p w14:paraId="6D86D45A" w14:textId="31BBEF52" w:rsidR="00867CAD" w:rsidRPr="00E3373F" w:rsidRDefault="00867CAD" w:rsidP="00867CAD">
      <w:pPr>
        <w:spacing w:line="480" w:lineRule="auto"/>
        <w:outlineLvl w:val="0"/>
        <w:rPr>
          <w:rFonts w:eastAsia="Times New Roman"/>
          <w:color w:val="000000" w:themeColor="text1"/>
        </w:rPr>
      </w:pPr>
      <w:r>
        <w:rPr>
          <w:rFonts w:eastAsia="Times New Roman"/>
          <w:color w:val="000000" w:themeColor="text1"/>
        </w:rPr>
        <w:tab/>
        <w:t xml:space="preserve">7) </w:t>
      </w:r>
      <w:proofErr w:type="gramStart"/>
      <w:r>
        <w:rPr>
          <w:rFonts w:eastAsia="Times New Roman"/>
          <w:color w:val="000000" w:themeColor="text1"/>
        </w:rPr>
        <w:t>the</w:t>
      </w:r>
      <w:proofErr w:type="gramEnd"/>
      <w:r>
        <w:rPr>
          <w:rFonts w:eastAsia="Times New Roman"/>
          <w:color w:val="000000" w:themeColor="text1"/>
        </w:rPr>
        <w:t xml:space="preserve"> interaction between each partner-reported PCBC dimension with actor’s </w:t>
      </w:r>
      <w:r w:rsidR="005F393C">
        <w:rPr>
          <w:rFonts w:eastAsia="Times New Roman"/>
          <w:color w:val="000000" w:themeColor="text1"/>
        </w:rPr>
        <w:t xml:space="preserve">respective </w:t>
      </w:r>
      <w:r w:rsidR="00AE7DB3">
        <w:rPr>
          <w:rFonts w:eastAsia="Times New Roman"/>
          <w:color w:val="000000" w:themeColor="text1"/>
        </w:rPr>
        <w:t>score</w:t>
      </w:r>
      <w:r w:rsidR="00853506">
        <w:rPr>
          <w:rFonts w:eastAsia="Times New Roman"/>
          <w:color w:val="000000" w:themeColor="text1"/>
        </w:rPr>
        <w:t>s</w:t>
      </w:r>
      <w:r w:rsidR="00AE7DB3">
        <w:rPr>
          <w:rFonts w:eastAsia="Times New Roman"/>
          <w:color w:val="000000" w:themeColor="text1"/>
        </w:rPr>
        <w:t xml:space="preserve"> on </w:t>
      </w:r>
      <w:r w:rsidR="00050473">
        <w:rPr>
          <w:rFonts w:eastAsia="Times New Roman"/>
          <w:color w:val="000000" w:themeColor="text1"/>
        </w:rPr>
        <w:t>global satisfaction</w:t>
      </w:r>
      <w:r w:rsidR="00924CE8">
        <w:rPr>
          <w:rFonts w:eastAsia="Times New Roman"/>
          <w:color w:val="000000" w:themeColor="text1"/>
        </w:rPr>
        <w:t>, seriousness of the conflicts</w:t>
      </w:r>
      <w:r w:rsidR="00212D68">
        <w:rPr>
          <w:rFonts w:eastAsia="Times New Roman"/>
          <w:color w:val="000000" w:themeColor="text1"/>
        </w:rPr>
        <w:t xml:space="preserve"> (between and within)</w:t>
      </w:r>
      <w:r w:rsidR="00924CE8">
        <w:rPr>
          <w:rFonts w:eastAsia="Times New Roman"/>
          <w:color w:val="000000" w:themeColor="text1"/>
        </w:rPr>
        <w:t>, and total number of conflicts</w:t>
      </w:r>
      <w:r w:rsidR="00CD33EC">
        <w:rPr>
          <w:rFonts w:eastAsia="Times New Roman"/>
          <w:color w:val="000000" w:themeColor="text1"/>
        </w:rPr>
        <w:t xml:space="preserve"> (12 interactions)</w:t>
      </w:r>
      <w:r>
        <w:rPr>
          <w:rFonts w:eastAsia="Times New Roman"/>
          <w:color w:val="000000" w:themeColor="text1"/>
        </w:rPr>
        <w:t>;</w:t>
      </w:r>
    </w:p>
    <w:p w14:paraId="688D7C7A" w14:textId="77777777" w:rsidR="00867CAD" w:rsidRPr="00713200" w:rsidRDefault="00867CAD" w:rsidP="00867CAD">
      <w:pPr>
        <w:autoSpaceDE w:val="0"/>
        <w:autoSpaceDN w:val="0"/>
        <w:adjustRightInd w:val="0"/>
        <w:spacing w:line="480" w:lineRule="auto"/>
        <w:ind w:firstLine="720"/>
        <w:rPr>
          <w:iCs/>
        </w:rPr>
      </w:pPr>
      <w:r>
        <w:rPr>
          <w:rFonts w:eastAsia="Times New Roman"/>
          <w:color w:val="000000" w:themeColor="text1"/>
        </w:rPr>
        <w:t>8</w:t>
      </w:r>
      <w:r w:rsidRPr="00713200">
        <w:rPr>
          <w:rFonts w:eastAsia="Times New Roman"/>
          <w:color w:val="000000" w:themeColor="text1"/>
        </w:rPr>
        <w:t xml:space="preserve">) </w:t>
      </w:r>
      <w:r>
        <w:rPr>
          <w:iCs/>
        </w:rPr>
        <w:t xml:space="preserve">a </w:t>
      </w:r>
      <w:r w:rsidRPr="00713200">
        <w:rPr>
          <w:iCs/>
        </w:rPr>
        <w:t xml:space="preserve">repeated effect for </w:t>
      </w:r>
      <w:r>
        <w:rPr>
          <w:iCs/>
        </w:rPr>
        <w:t>the</w:t>
      </w:r>
      <w:r w:rsidRPr="00713200">
        <w:rPr>
          <w:iCs/>
        </w:rPr>
        <w:t xml:space="preserve"> </w:t>
      </w:r>
      <w:r w:rsidRPr="00713200">
        <w:t xml:space="preserve">non-independence of </w:t>
      </w:r>
      <w:r>
        <w:t xml:space="preserve">individual </w:t>
      </w:r>
      <w:r w:rsidRPr="00713200">
        <w:t>ratings across diary days</w:t>
      </w:r>
      <w:r w:rsidRPr="00713200">
        <w:rPr>
          <w:iCs/>
        </w:rPr>
        <w:t>;</w:t>
      </w:r>
    </w:p>
    <w:p w14:paraId="16ED30DC" w14:textId="77777777" w:rsidR="00867CAD" w:rsidRDefault="00867CAD" w:rsidP="00867CAD">
      <w:pPr>
        <w:spacing w:line="480" w:lineRule="auto"/>
        <w:ind w:firstLine="720"/>
        <w:outlineLvl w:val="0"/>
        <w:rPr>
          <w:iCs/>
        </w:rPr>
      </w:pPr>
      <w:r>
        <w:rPr>
          <w:iCs/>
        </w:rPr>
        <w:t>9</w:t>
      </w:r>
      <w:r w:rsidRPr="00713200">
        <w:rPr>
          <w:iCs/>
        </w:rPr>
        <w:t>) a random effect accounting for non-independence between couple partners’ scores.</w:t>
      </w:r>
    </w:p>
    <w:p w14:paraId="36B9C914" w14:textId="66956214" w:rsidR="00A3719B" w:rsidRDefault="00A3719B" w:rsidP="00B1346F">
      <w:pPr>
        <w:spacing w:line="480" w:lineRule="auto"/>
        <w:outlineLvl w:val="0"/>
        <w:rPr>
          <w:iCs/>
        </w:rPr>
      </w:pPr>
      <w:r>
        <w:rPr>
          <w:iCs/>
        </w:rPr>
        <w:tab/>
      </w:r>
      <w:r w:rsidR="00B1346F">
        <w:rPr>
          <w:iCs/>
        </w:rPr>
        <w:t xml:space="preserve">Results are reported </w:t>
      </w:r>
      <w:r>
        <w:rPr>
          <w:iCs/>
        </w:rPr>
        <w:t>by moderator and then by PCBC dimension.</w:t>
      </w:r>
    </w:p>
    <w:p w14:paraId="16A730BA" w14:textId="065874C7" w:rsidR="00B36986" w:rsidRDefault="00B36986" w:rsidP="00B36986">
      <w:pPr>
        <w:spacing w:line="480" w:lineRule="auto"/>
        <w:outlineLvl w:val="0"/>
        <w:rPr>
          <w:b/>
          <w:iCs/>
        </w:rPr>
      </w:pPr>
      <w:r>
        <w:rPr>
          <w:b/>
          <w:iCs/>
        </w:rPr>
        <w:t>Global Relationship Satisfaction as a Moderator</w:t>
      </w:r>
    </w:p>
    <w:p w14:paraId="453675C5" w14:textId="0B1F5B65" w:rsidR="00135022" w:rsidRPr="00135022" w:rsidRDefault="007608BD" w:rsidP="00F82B79">
      <w:pPr>
        <w:spacing w:line="480" w:lineRule="auto"/>
        <w:ind w:firstLine="720"/>
        <w:outlineLvl w:val="0"/>
        <w:rPr>
          <w:iCs/>
        </w:rPr>
      </w:pPr>
      <w:r>
        <w:rPr>
          <w:iCs/>
        </w:rPr>
        <w:t>We</w:t>
      </w:r>
      <w:r w:rsidR="00B36986">
        <w:rPr>
          <w:iCs/>
        </w:rPr>
        <w:t xml:space="preserve"> found </w:t>
      </w:r>
      <w:r w:rsidR="003B7454">
        <w:rPr>
          <w:iCs/>
        </w:rPr>
        <w:t>four</w:t>
      </w:r>
      <w:r w:rsidR="00B36986">
        <w:rPr>
          <w:iCs/>
        </w:rPr>
        <w:t xml:space="preserve"> interactions between post-conflict behavior dimensions and global relationship satisfaction</w:t>
      </w:r>
      <w:r w:rsidR="00E60890">
        <w:rPr>
          <w:iCs/>
        </w:rPr>
        <w:t xml:space="preserve"> that predicted post-conflict outcomes</w:t>
      </w:r>
      <w:r w:rsidR="00B36986">
        <w:rPr>
          <w:iCs/>
        </w:rPr>
        <w:t xml:space="preserve">. </w:t>
      </w:r>
      <w:r w:rsidR="00135022">
        <w:rPr>
          <w:iCs/>
        </w:rPr>
        <w:t xml:space="preserve">First, the partner’s daily use of </w:t>
      </w:r>
      <w:r w:rsidR="00F82B79">
        <w:rPr>
          <w:iCs/>
        </w:rPr>
        <w:t>A</w:t>
      </w:r>
      <w:r w:rsidR="00135022">
        <w:rPr>
          <w:iCs/>
        </w:rPr>
        <w:t xml:space="preserve">voidance interacted with </w:t>
      </w:r>
      <w:r w:rsidR="00DF0028">
        <w:rPr>
          <w:iCs/>
        </w:rPr>
        <w:t xml:space="preserve">actor’s </w:t>
      </w:r>
      <w:r w:rsidR="00135022">
        <w:rPr>
          <w:iCs/>
        </w:rPr>
        <w:t>global relationship satisfaction to predict Intimacy-UA (</w:t>
      </w:r>
      <w:r w:rsidR="00135022">
        <w:rPr>
          <w:i/>
          <w:iCs/>
        </w:rPr>
        <w:t xml:space="preserve">b </w:t>
      </w:r>
      <w:r w:rsidR="00F276FB">
        <w:rPr>
          <w:iCs/>
        </w:rPr>
        <w:t>= -0.17</w:t>
      </w:r>
      <w:r w:rsidR="00135022">
        <w:rPr>
          <w:iCs/>
        </w:rPr>
        <w:t xml:space="preserve">, </w:t>
      </w:r>
      <w:r w:rsidR="00135022">
        <w:rPr>
          <w:i/>
          <w:iCs/>
        </w:rPr>
        <w:t xml:space="preserve">SE </w:t>
      </w:r>
      <w:r w:rsidR="00F276FB">
        <w:rPr>
          <w:iCs/>
        </w:rPr>
        <w:t>= .07</w:t>
      </w:r>
      <w:r w:rsidR="00135022">
        <w:rPr>
          <w:iCs/>
        </w:rPr>
        <w:t xml:space="preserve">, </w:t>
      </w:r>
      <w:r w:rsidR="00135022">
        <w:rPr>
          <w:i/>
          <w:iCs/>
        </w:rPr>
        <w:t xml:space="preserve">p </w:t>
      </w:r>
      <w:r w:rsidR="00F276FB">
        <w:rPr>
          <w:iCs/>
        </w:rPr>
        <w:t>= .020</w:t>
      </w:r>
      <w:r w:rsidR="00324823">
        <w:rPr>
          <w:iCs/>
        </w:rPr>
        <w:t>; see Figure 1</w:t>
      </w:r>
      <w:r w:rsidR="00135022">
        <w:rPr>
          <w:iCs/>
        </w:rPr>
        <w:t>).</w:t>
      </w:r>
      <w:r w:rsidR="00F276FB">
        <w:rPr>
          <w:iCs/>
        </w:rPr>
        <w:t xml:space="preserve"> Actors who have high levels of global relationship satisfaction report less Intimacy-UA when their partner uses Avoidance after a conflict (</w:t>
      </w:r>
      <w:r w:rsidR="00F276FB">
        <w:rPr>
          <w:i/>
          <w:iCs/>
        </w:rPr>
        <w:t xml:space="preserve">b </w:t>
      </w:r>
      <w:r w:rsidR="00F276FB">
        <w:rPr>
          <w:iCs/>
        </w:rPr>
        <w:t xml:space="preserve">= -2.87, </w:t>
      </w:r>
      <w:r w:rsidR="00F276FB">
        <w:rPr>
          <w:i/>
          <w:iCs/>
        </w:rPr>
        <w:t xml:space="preserve">SE </w:t>
      </w:r>
      <w:r w:rsidR="00F276FB">
        <w:rPr>
          <w:iCs/>
        </w:rPr>
        <w:t xml:space="preserve">= .83, </w:t>
      </w:r>
      <w:r w:rsidR="00F276FB">
        <w:rPr>
          <w:i/>
          <w:iCs/>
        </w:rPr>
        <w:t xml:space="preserve">p </w:t>
      </w:r>
      <w:r w:rsidR="00F276FB">
        <w:rPr>
          <w:iCs/>
        </w:rPr>
        <w:t xml:space="preserve">= .001). However, actors who have low levels of global relationship satisfaction </w:t>
      </w:r>
      <w:r w:rsidR="00F276FB">
        <w:rPr>
          <w:iCs/>
        </w:rPr>
        <w:lastRenderedPageBreak/>
        <w:t>report similar levels of Intimacy-UA regardless of whether the partner uses Avoidance or not (</w:t>
      </w:r>
      <w:r w:rsidR="00F276FB">
        <w:rPr>
          <w:i/>
          <w:iCs/>
        </w:rPr>
        <w:t xml:space="preserve">b </w:t>
      </w:r>
      <w:r w:rsidR="00F276FB">
        <w:rPr>
          <w:iCs/>
        </w:rPr>
        <w:t xml:space="preserve">= -0.29, </w:t>
      </w:r>
      <w:r w:rsidR="00F276FB">
        <w:rPr>
          <w:i/>
          <w:iCs/>
        </w:rPr>
        <w:t xml:space="preserve">SE </w:t>
      </w:r>
      <w:r w:rsidR="00F276FB">
        <w:rPr>
          <w:iCs/>
        </w:rPr>
        <w:t xml:space="preserve">= 7.28, </w:t>
      </w:r>
      <w:r w:rsidR="00F276FB">
        <w:rPr>
          <w:i/>
          <w:iCs/>
        </w:rPr>
        <w:t xml:space="preserve">p </w:t>
      </w:r>
      <w:r w:rsidR="00F276FB">
        <w:rPr>
          <w:iCs/>
        </w:rPr>
        <w:t>= .689).</w:t>
      </w:r>
    </w:p>
    <w:p w14:paraId="72375498" w14:textId="4E6FE7E6" w:rsidR="00B36986" w:rsidRDefault="00135022" w:rsidP="00B36986">
      <w:pPr>
        <w:spacing w:line="480" w:lineRule="auto"/>
        <w:ind w:firstLine="720"/>
        <w:outlineLvl w:val="0"/>
        <w:rPr>
          <w:iCs/>
        </w:rPr>
      </w:pPr>
      <w:r>
        <w:rPr>
          <w:iCs/>
        </w:rPr>
        <w:t>Second</w:t>
      </w:r>
      <w:r w:rsidR="00B36986">
        <w:rPr>
          <w:iCs/>
        </w:rPr>
        <w:t>, the partner’</w:t>
      </w:r>
      <w:r w:rsidR="00F276FB">
        <w:rPr>
          <w:iCs/>
        </w:rPr>
        <w:t>s daily use of Active R</w:t>
      </w:r>
      <w:r w:rsidR="00B36986">
        <w:rPr>
          <w:iCs/>
        </w:rPr>
        <w:t xml:space="preserve">epair interacted with </w:t>
      </w:r>
      <w:r w:rsidR="00997623">
        <w:rPr>
          <w:iCs/>
        </w:rPr>
        <w:t xml:space="preserve">actor’s </w:t>
      </w:r>
      <w:r w:rsidR="00B36986">
        <w:rPr>
          <w:iCs/>
        </w:rPr>
        <w:t>global relationship satisfaction to predict Intimacy-UA (</w:t>
      </w:r>
      <w:r w:rsidR="00B36986">
        <w:rPr>
          <w:i/>
          <w:iCs/>
        </w:rPr>
        <w:t xml:space="preserve">b </w:t>
      </w:r>
      <w:r w:rsidR="00B36986">
        <w:rPr>
          <w:iCs/>
        </w:rPr>
        <w:t xml:space="preserve">= </w:t>
      </w:r>
      <w:r>
        <w:rPr>
          <w:iCs/>
        </w:rPr>
        <w:t>-0.26</w:t>
      </w:r>
      <w:r w:rsidR="00B36986">
        <w:rPr>
          <w:iCs/>
        </w:rPr>
        <w:t xml:space="preserve">, </w:t>
      </w:r>
      <w:r w:rsidR="00B36986">
        <w:rPr>
          <w:i/>
          <w:iCs/>
        </w:rPr>
        <w:t xml:space="preserve">SE </w:t>
      </w:r>
      <w:r>
        <w:rPr>
          <w:iCs/>
        </w:rPr>
        <w:t>= 0.12</w:t>
      </w:r>
      <w:r w:rsidR="00B36986">
        <w:rPr>
          <w:iCs/>
        </w:rPr>
        <w:t xml:space="preserve">, </w:t>
      </w:r>
      <w:r w:rsidR="00B36986">
        <w:rPr>
          <w:i/>
          <w:iCs/>
        </w:rPr>
        <w:t xml:space="preserve">p </w:t>
      </w:r>
      <w:r>
        <w:rPr>
          <w:iCs/>
        </w:rPr>
        <w:t>= .028</w:t>
      </w:r>
      <w:r w:rsidR="00324823">
        <w:rPr>
          <w:iCs/>
        </w:rPr>
        <w:t>; see Figure 2</w:t>
      </w:r>
      <w:r w:rsidR="00B36986">
        <w:rPr>
          <w:iCs/>
        </w:rPr>
        <w:t xml:space="preserve">). </w:t>
      </w:r>
      <w:r w:rsidR="00B36986" w:rsidRPr="00B36986">
        <w:rPr>
          <w:iCs/>
        </w:rPr>
        <w:t>Actors who have high levels of global satisfaction report similar levels of daily Intimacy-UA</w:t>
      </w:r>
      <w:r>
        <w:rPr>
          <w:iCs/>
        </w:rPr>
        <w:t xml:space="preserve"> (</w:t>
      </w:r>
      <w:r>
        <w:rPr>
          <w:i/>
          <w:iCs/>
        </w:rPr>
        <w:t xml:space="preserve">b </w:t>
      </w:r>
      <w:r>
        <w:rPr>
          <w:iCs/>
        </w:rPr>
        <w:t xml:space="preserve">= -0.74, </w:t>
      </w:r>
      <w:r>
        <w:rPr>
          <w:i/>
          <w:iCs/>
        </w:rPr>
        <w:t xml:space="preserve">SE </w:t>
      </w:r>
      <w:r>
        <w:rPr>
          <w:iCs/>
        </w:rPr>
        <w:t xml:space="preserve">= 1.19, </w:t>
      </w:r>
      <w:r>
        <w:rPr>
          <w:i/>
          <w:iCs/>
        </w:rPr>
        <w:t xml:space="preserve">p </w:t>
      </w:r>
      <w:r>
        <w:rPr>
          <w:iCs/>
        </w:rPr>
        <w:t>= .536)</w:t>
      </w:r>
      <w:r w:rsidR="00B36986">
        <w:rPr>
          <w:iCs/>
        </w:rPr>
        <w:t>, regardless of whether their partner uses Active R</w:t>
      </w:r>
      <w:r w:rsidR="00B36986" w:rsidRPr="00B36986">
        <w:rPr>
          <w:iCs/>
        </w:rPr>
        <w:t xml:space="preserve">epair or not. However, those who have low levels of global satisfaction report higher Intimacy-UA </w:t>
      </w:r>
      <w:r w:rsidR="00B36986">
        <w:rPr>
          <w:iCs/>
        </w:rPr>
        <w:t>when their partners engage in Active Repair following the</w:t>
      </w:r>
      <w:r w:rsidR="00B36986" w:rsidRPr="00B36986">
        <w:rPr>
          <w:iCs/>
        </w:rPr>
        <w:t xml:space="preserve"> conflict</w:t>
      </w:r>
      <w:r w:rsidR="00B36986">
        <w:rPr>
          <w:iCs/>
        </w:rPr>
        <w:t>, as compared to when their partners do not engage in Active R</w:t>
      </w:r>
      <w:r w:rsidR="00B36986" w:rsidRPr="00B36986">
        <w:rPr>
          <w:iCs/>
        </w:rPr>
        <w:t>epair</w:t>
      </w:r>
      <w:r>
        <w:rPr>
          <w:iCs/>
        </w:rPr>
        <w:t xml:space="preserve"> (</w:t>
      </w:r>
      <w:r>
        <w:rPr>
          <w:i/>
          <w:iCs/>
        </w:rPr>
        <w:t xml:space="preserve">b </w:t>
      </w:r>
      <w:r>
        <w:rPr>
          <w:iCs/>
        </w:rPr>
        <w:t xml:space="preserve">= 3.18, </w:t>
      </w:r>
      <w:r>
        <w:rPr>
          <w:i/>
          <w:iCs/>
        </w:rPr>
        <w:t xml:space="preserve">SE </w:t>
      </w:r>
      <w:r>
        <w:rPr>
          <w:iCs/>
        </w:rPr>
        <w:t xml:space="preserve">= 1.25, </w:t>
      </w:r>
      <w:r>
        <w:rPr>
          <w:i/>
          <w:iCs/>
        </w:rPr>
        <w:t xml:space="preserve">p </w:t>
      </w:r>
      <w:r>
        <w:rPr>
          <w:iCs/>
        </w:rPr>
        <w:t>= .011)</w:t>
      </w:r>
      <w:r w:rsidR="00B36986" w:rsidRPr="00B36986">
        <w:rPr>
          <w:iCs/>
        </w:rPr>
        <w:t>.</w:t>
      </w:r>
    </w:p>
    <w:p w14:paraId="53AD66E8" w14:textId="0F124ADC" w:rsidR="00F276FB" w:rsidRDefault="00F276FB" w:rsidP="00B36986">
      <w:pPr>
        <w:spacing w:line="480" w:lineRule="auto"/>
        <w:ind w:firstLine="720"/>
        <w:outlineLvl w:val="0"/>
        <w:rPr>
          <w:iCs/>
        </w:rPr>
      </w:pPr>
      <w:r>
        <w:rPr>
          <w:iCs/>
        </w:rPr>
        <w:t xml:space="preserve">Third, the partner’s use of Active Repair across the diary (between-effect) interacted with </w:t>
      </w:r>
      <w:r w:rsidR="00DF0028">
        <w:rPr>
          <w:iCs/>
        </w:rPr>
        <w:t xml:space="preserve">actor’s </w:t>
      </w:r>
      <w:r>
        <w:rPr>
          <w:iCs/>
        </w:rPr>
        <w:t>global relationship satisfact</w:t>
      </w:r>
      <w:r w:rsidR="005C09A2">
        <w:rPr>
          <w:iCs/>
        </w:rPr>
        <w:t>ion to predict Negative Affect (</w:t>
      </w:r>
      <w:r w:rsidR="005C09A2">
        <w:rPr>
          <w:i/>
          <w:iCs/>
        </w:rPr>
        <w:t xml:space="preserve">b </w:t>
      </w:r>
      <w:r w:rsidR="005C09A2">
        <w:rPr>
          <w:iCs/>
        </w:rPr>
        <w:t xml:space="preserve">= -0.18, </w:t>
      </w:r>
      <w:r w:rsidR="005C09A2">
        <w:rPr>
          <w:i/>
          <w:iCs/>
        </w:rPr>
        <w:t xml:space="preserve">SE </w:t>
      </w:r>
      <w:r w:rsidR="005C09A2">
        <w:rPr>
          <w:iCs/>
        </w:rPr>
        <w:t xml:space="preserve">= .06, </w:t>
      </w:r>
      <w:r w:rsidR="005C09A2">
        <w:rPr>
          <w:i/>
          <w:iCs/>
        </w:rPr>
        <w:t xml:space="preserve">p </w:t>
      </w:r>
      <w:r w:rsidR="005C09A2">
        <w:rPr>
          <w:iCs/>
        </w:rPr>
        <w:t>= .005</w:t>
      </w:r>
      <w:r w:rsidR="00324823">
        <w:rPr>
          <w:iCs/>
        </w:rPr>
        <w:t>; see Figure 3</w:t>
      </w:r>
      <w:r w:rsidR="005C09A2">
        <w:rPr>
          <w:iCs/>
        </w:rPr>
        <w:t xml:space="preserve">). </w:t>
      </w:r>
      <w:r w:rsidR="006D51EF">
        <w:rPr>
          <w:iCs/>
        </w:rPr>
        <w:t xml:space="preserve">Actors who have high levels of global relationship satisfaction report similar levels of negative affect, regardless of how much Active Repair their partners engage in across the diary period </w:t>
      </w:r>
      <w:r w:rsidR="005C09A2">
        <w:rPr>
          <w:iCs/>
        </w:rPr>
        <w:t>(</w:t>
      </w:r>
      <w:r w:rsidR="005C09A2">
        <w:rPr>
          <w:i/>
          <w:iCs/>
        </w:rPr>
        <w:t xml:space="preserve">b </w:t>
      </w:r>
      <w:r w:rsidR="005C09A2">
        <w:rPr>
          <w:iCs/>
        </w:rPr>
        <w:t xml:space="preserve">= -0.81, </w:t>
      </w:r>
      <w:r w:rsidR="005C09A2">
        <w:rPr>
          <w:i/>
          <w:iCs/>
        </w:rPr>
        <w:t xml:space="preserve">SE </w:t>
      </w:r>
      <w:r w:rsidR="005C09A2">
        <w:rPr>
          <w:iCs/>
        </w:rPr>
        <w:t xml:space="preserve">= 0.52, </w:t>
      </w:r>
      <w:r w:rsidR="005C09A2">
        <w:rPr>
          <w:i/>
          <w:iCs/>
        </w:rPr>
        <w:t xml:space="preserve">p </w:t>
      </w:r>
      <w:r w:rsidR="005C09A2">
        <w:rPr>
          <w:iCs/>
        </w:rPr>
        <w:t>= .122)</w:t>
      </w:r>
      <w:r w:rsidR="006D51EF">
        <w:rPr>
          <w:iCs/>
        </w:rPr>
        <w:t xml:space="preserve">. However, those with low levels of global relationship satisfaction report </w:t>
      </w:r>
      <w:r w:rsidR="00275117">
        <w:rPr>
          <w:iCs/>
        </w:rPr>
        <w:t>more</w:t>
      </w:r>
      <w:r w:rsidR="006D51EF">
        <w:rPr>
          <w:iCs/>
        </w:rPr>
        <w:t xml:space="preserve"> negative affect </w:t>
      </w:r>
      <w:r w:rsidR="00275117">
        <w:rPr>
          <w:iCs/>
        </w:rPr>
        <w:t>as their partners use more Active Repair strategies across the diary period</w:t>
      </w:r>
      <w:r w:rsidR="005C09A2">
        <w:rPr>
          <w:iCs/>
        </w:rPr>
        <w:t xml:space="preserve"> (</w:t>
      </w:r>
      <w:r w:rsidR="005C09A2">
        <w:rPr>
          <w:i/>
          <w:iCs/>
        </w:rPr>
        <w:t xml:space="preserve">b </w:t>
      </w:r>
      <w:r w:rsidR="005C09A2">
        <w:rPr>
          <w:iCs/>
        </w:rPr>
        <w:t xml:space="preserve">= 1.90, </w:t>
      </w:r>
      <w:r w:rsidR="005C09A2">
        <w:rPr>
          <w:i/>
          <w:iCs/>
        </w:rPr>
        <w:t xml:space="preserve">SE </w:t>
      </w:r>
      <w:r w:rsidR="005C09A2">
        <w:rPr>
          <w:iCs/>
        </w:rPr>
        <w:t xml:space="preserve">= .65, </w:t>
      </w:r>
      <w:r w:rsidR="005C09A2">
        <w:rPr>
          <w:i/>
          <w:iCs/>
        </w:rPr>
        <w:t xml:space="preserve">p </w:t>
      </w:r>
      <w:r w:rsidR="005C09A2">
        <w:rPr>
          <w:iCs/>
        </w:rPr>
        <w:t>= .004).</w:t>
      </w:r>
    </w:p>
    <w:p w14:paraId="6527FDC9" w14:textId="71CAE6F4" w:rsidR="003B7454" w:rsidRDefault="00DA69B5" w:rsidP="003B7454">
      <w:pPr>
        <w:spacing w:line="480" w:lineRule="auto"/>
        <w:ind w:firstLine="720"/>
        <w:outlineLvl w:val="0"/>
        <w:rPr>
          <w:iCs/>
        </w:rPr>
      </w:pPr>
      <w:r>
        <w:rPr>
          <w:iCs/>
        </w:rPr>
        <w:t xml:space="preserve">Fourth, the partner’s daily use of </w:t>
      </w:r>
      <w:r w:rsidR="003B7454">
        <w:rPr>
          <w:iCs/>
        </w:rPr>
        <w:t>Let Go</w:t>
      </w:r>
      <w:r>
        <w:rPr>
          <w:iCs/>
        </w:rPr>
        <w:t xml:space="preserve"> </w:t>
      </w:r>
      <w:r w:rsidR="003B7454">
        <w:rPr>
          <w:iCs/>
        </w:rPr>
        <w:t xml:space="preserve">interacted with </w:t>
      </w:r>
      <w:r w:rsidR="00DF0028">
        <w:rPr>
          <w:iCs/>
        </w:rPr>
        <w:t xml:space="preserve">actor’s </w:t>
      </w:r>
      <w:r w:rsidR="003B7454">
        <w:rPr>
          <w:iCs/>
        </w:rPr>
        <w:t>global relationship satisfaction to predict Depressive Symptoms (</w:t>
      </w:r>
      <w:r w:rsidR="003B7454">
        <w:rPr>
          <w:i/>
          <w:iCs/>
        </w:rPr>
        <w:t xml:space="preserve">b </w:t>
      </w:r>
      <w:r w:rsidR="003B7454">
        <w:rPr>
          <w:iCs/>
        </w:rPr>
        <w:t xml:space="preserve">= 0.11, </w:t>
      </w:r>
      <w:r w:rsidR="003B7454">
        <w:rPr>
          <w:i/>
          <w:iCs/>
        </w:rPr>
        <w:t xml:space="preserve">SE </w:t>
      </w:r>
      <w:r w:rsidR="003B7454">
        <w:rPr>
          <w:iCs/>
        </w:rPr>
        <w:t xml:space="preserve">= .056, </w:t>
      </w:r>
      <w:r w:rsidR="003B7454">
        <w:rPr>
          <w:i/>
          <w:iCs/>
        </w:rPr>
        <w:t xml:space="preserve">p </w:t>
      </w:r>
      <w:r w:rsidR="003B7454">
        <w:rPr>
          <w:iCs/>
        </w:rPr>
        <w:t>= .048</w:t>
      </w:r>
      <w:r w:rsidR="00324823">
        <w:rPr>
          <w:iCs/>
        </w:rPr>
        <w:t>; see Figure 4</w:t>
      </w:r>
      <w:r w:rsidR="003B7454">
        <w:rPr>
          <w:iCs/>
        </w:rPr>
        <w:t>). Actors who have high levels of global relationship satisfaction report similar levels of depressive symptoms, regardless of whether their partner uses Let Go or not (</w:t>
      </w:r>
      <w:r w:rsidR="003B7454">
        <w:rPr>
          <w:i/>
          <w:iCs/>
        </w:rPr>
        <w:t xml:space="preserve">b </w:t>
      </w:r>
      <w:r w:rsidR="003B7454">
        <w:rPr>
          <w:iCs/>
        </w:rPr>
        <w:t xml:space="preserve">= .66, </w:t>
      </w:r>
      <w:r w:rsidR="003B7454">
        <w:rPr>
          <w:i/>
          <w:iCs/>
        </w:rPr>
        <w:t xml:space="preserve">SE </w:t>
      </w:r>
      <w:r w:rsidR="003B7454">
        <w:rPr>
          <w:iCs/>
        </w:rPr>
        <w:t xml:space="preserve">= .59, </w:t>
      </w:r>
      <w:r w:rsidR="003B7454">
        <w:rPr>
          <w:i/>
          <w:iCs/>
        </w:rPr>
        <w:t xml:space="preserve">p </w:t>
      </w:r>
      <w:r w:rsidR="003B7454">
        <w:rPr>
          <w:iCs/>
        </w:rPr>
        <w:t>= .269)</w:t>
      </w:r>
      <w:r w:rsidR="003B7454">
        <w:rPr>
          <w:rFonts w:eastAsia="Times New Roman"/>
          <w:color w:val="000000" w:themeColor="text1"/>
        </w:rPr>
        <w:t xml:space="preserve">. However, those who have low levels of global relationship satisfaction report marginally fewer depressive symptoms if their partner uses Let Go than if their partner does not use any Let Go strategies </w:t>
      </w:r>
      <w:r w:rsidR="003B7454">
        <w:rPr>
          <w:iCs/>
        </w:rPr>
        <w:t>(</w:t>
      </w:r>
      <w:r w:rsidR="003B7454">
        <w:rPr>
          <w:i/>
          <w:iCs/>
        </w:rPr>
        <w:t xml:space="preserve">b </w:t>
      </w:r>
      <w:r w:rsidR="003B7454">
        <w:rPr>
          <w:iCs/>
        </w:rPr>
        <w:t xml:space="preserve">= -1.02, </w:t>
      </w:r>
      <w:r w:rsidR="003B7454">
        <w:rPr>
          <w:i/>
          <w:iCs/>
        </w:rPr>
        <w:t xml:space="preserve">SE </w:t>
      </w:r>
      <w:r w:rsidR="003B7454">
        <w:rPr>
          <w:iCs/>
        </w:rPr>
        <w:t xml:space="preserve">= .57, </w:t>
      </w:r>
      <w:r w:rsidR="003B7454">
        <w:rPr>
          <w:i/>
          <w:iCs/>
        </w:rPr>
        <w:t xml:space="preserve">p </w:t>
      </w:r>
      <w:r w:rsidR="003B7454">
        <w:rPr>
          <w:iCs/>
        </w:rPr>
        <w:t>= .075).</w:t>
      </w:r>
    </w:p>
    <w:p w14:paraId="5E4771C7" w14:textId="3E167953" w:rsidR="00A3719B" w:rsidRDefault="00A3719B" w:rsidP="003B7454">
      <w:pPr>
        <w:spacing w:line="480" w:lineRule="auto"/>
        <w:ind w:firstLine="720"/>
        <w:outlineLvl w:val="0"/>
        <w:rPr>
          <w:iCs/>
        </w:rPr>
      </w:pPr>
      <w:r>
        <w:rPr>
          <w:iCs/>
        </w:rPr>
        <w:lastRenderedPageBreak/>
        <w:t xml:space="preserve">Together, it seems that </w:t>
      </w:r>
      <w:r w:rsidR="009872D7">
        <w:rPr>
          <w:iCs/>
        </w:rPr>
        <w:t xml:space="preserve">the partner’s </w:t>
      </w:r>
      <w:r>
        <w:rPr>
          <w:iCs/>
        </w:rPr>
        <w:t xml:space="preserve">post-conflict behaviors serve as a buffering effect for those who have </w:t>
      </w:r>
      <w:r w:rsidRPr="009872D7">
        <w:rPr>
          <w:i/>
          <w:iCs/>
        </w:rPr>
        <w:t>lo</w:t>
      </w:r>
      <w:r w:rsidR="009872D7" w:rsidRPr="009872D7">
        <w:rPr>
          <w:i/>
          <w:iCs/>
        </w:rPr>
        <w:t>w</w:t>
      </w:r>
      <w:r w:rsidR="009872D7">
        <w:rPr>
          <w:iCs/>
        </w:rPr>
        <w:t xml:space="preserve"> global satisfaction. That is, the partner’s use of Active Repair and Let Go is associated with better recovery, particularly for those who report low global satisfaction. The partner’s Avoidance seems to have the opposite effect, such that it is particularly negative for those with </w:t>
      </w:r>
      <w:r w:rsidR="009872D7" w:rsidRPr="009872D7">
        <w:rPr>
          <w:i/>
          <w:iCs/>
        </w:rPr>
        <w:t>high</w:t>
      </w:r>
      <w:r w:rsidR="009872D7">
        <w:rPr>
          <w:iCs/>
        </w:rPr>
        <w:t xml:space="preserve"> overall levels of relationship satisfaction.</w:t>
      </w:r>
    </w:p>
    <w:p w14:paraId="71F2CD7F" w14:textId="60A9D237" w:rsidR="009F200B" w:rsidRDefault="009F200B" w:rsidP="009F200B">
      <w:pPr>
        <w:spacing w:line="480" w:lineRule="auto"/>
        <w:outlineLvl w:val="0"/>
        <w:rPr>
          <w:b/>
          <w:iCs/>
        </w:rPr>
      </w:pPr>
      <w:r>
        <w:rPr>
          <w:b/>
          <w:iCs/>
        </w:rPr>
        <w:t>Total Number of Conflicts as a Moderator</w:t>
      </w:r>
    </w:p>
    <w:p w14:paraId="6A7BBC1F" w14:textId="58BAF883" w:rsidR="009F200B" w:rsidRDefault="007608BD" w:rsidP="009F200B">
      <w:pPr>
        <w:spacing w:line="480" w:lineRule="auto"/>
        <w:ind w:firstLine="720"/>
        <w:outlineLvl w:val="0"/>
        <w:rPr>
          <w:iCs/>
        </w:rPr>
      </w:pPr>
      <w:r>
        <w:rPr>
          <w:iCs/>
        </w:rPr>
        <w:t>We</w:t>
      </w:r>
      <w:r w:rsidR="009F200B">
        <w:rPr>
          <w:iCs/>
        </w:rPr>
        <w:t xml:space="preserve"> found eight interactions between </w:t>
      </w:r>
      <w:r w:rsidR="00997623">
        <w:rPr>
          <w:iCs/>
        </w:rPr>
        <w:t xml:space="preserve">the PCBC </w:t>
      </w:r>
      <w:r w:rsidR="009F200B">
        <w:rPr>
          <w:iCs/>
        </w:rPr>
        <w:t>dimensions and the total number of conflicts across the diary period. First and second, the actor’s use of Avoidance interacted with the number of conflicts to predict Positive Affect (</w:t>
      </w:r>
      <w:r w:rsidR="009F200B">
        <w:rPr>
          <w:i/>
          <w:iCs/>
        </w:rPr>
        <w:t xml:space="preserve">b </w:t>
      </w:r>
      <w:r w:rsidR="009F200B">
        <w:rPr>
          <w:iCs/>
        </w:rPr>
        <w:t xml:space="preserve">= .29, </w:t>
      </w:r>
      <w:r w:rsidR="009F200B">
        <w:rPr>
          <w:i/>
          <w:iCs/>
        </w:rPr>
        <w:t xml:space="preserve">SE </w:t>
      </w:r>
      <w:r w:rsidR="009F200B">
        <w:rPr>
          <w:iCs/>
        </w:rPr>
        <w:t xml:space="preserve">= .10, </w:t>
      </w:r>
      <w:r w:rsidR="009F200B">
        <w:rPr>
          <w:i/>
          <w:iCs/>
        </w:rPr>
        <w:t xml:space="preserve">p </w:t>
      </w:r>
      <w:r w:rsidR="009F200B">
        <w:rPr>
          <w:iCs/>
        </w:rPr>
        <w:t>= .003</w:t>
      </w:r>
      <w:r w:rsidR="00324823">
        <w:rPr>
          <w:iCs/>
        </w:rPr>
        <w:t>; see Figure 5</w:t>
      </w:r>
      <w:r w:rsidR="009F200B">
        <w:rPr>
          <w:iCs/>
        </w:rPr>
        <w:t>) and Depressive Symptoms (</w:t>
      </w:r>
      <w:r w:rsidR="009F200B">
        <w:rPr>
          <w:i/>
          <w:iCs/>
        </w:rPr>
        <w:t xml:space="preserve">b </w:t>
      </w:r>
      <w:r w:rsidR="009F200B">
        <w:rPr>
          <w:iCs/>
        </w:rPr>
        <w:t xml:space="preserve">= </w:t>
      </w:r>
      <w:r w:rsidR="00006440">
        <w:rPr>
          <w:iCs/>
        </w:rPr>
        <w:t>-0.10</w:t>
      </w:r>
      <w:r w:rsidR="009F200B">
        <w:rPr>
          <w:iCs/>
        </w:rPr>
        <w:t xml:space="preserve">, </w:t>
      </w:r>
      <w:r w:rsidR="009F200B">
        <w:rPr>
          <w:i/>
          <w:iCs/>
        </w:rPr>
        <w:t xml:space="preserve">SE </w:t>
      </w:r>
      <w:r w:rsidR="00006440">
        <w:rPr>
          <w:iCs/>
        </w:rPr>
        <w:t>= .05</w:t>
      </w:r>
      <w:r w:rsidR="009F200B">
        <w:rPr>
          <w:iCs/>
        </w:rPr>
        <w:t xml:space="preserve">, </w:t>
      </w:r>
      <w:r w:rsidR="009F200B">
        <w:rPr>
          <w:i/>
          <w:iCs/>
        </w:rPr>
        <w:t xml:space="preserve">p </w:t>
      </w:r>
      <w:r w:rsidR="00006440">
        <w:rPr>
          <w:iCs/>
        </w:rPr>
        <w:t>= .042</w:t>
      </w:r>
      <w:r w:rsidR="00324823">
        <w:rPr>
          <w:iCs/>
        </w:rPr>
        <w:t>; see Figure 6</w:t>
      </w:r>
      <w:r w:rsidR="009F200B">
        <w:rPr>
          <w:iCs/>
        </w:rPr>
        <w:t>)</w:t>
      </w:r>
      <w:r w:rsidR="00006440">
        <w:rPr>
          <w:iCs/>
        </w:rPr>
        <w:t>. Actors who report</w:t>
      </w:r>
      <w:r w:rsidR="00997623">
        <w:rPr>
          <w:iCs/>
        </w:rPr>
        <w:t>ed</w:t>
      </w:r>
      <w:r w:rsidR="00006440">
        <w:rPr>
          <w:iCs/>
        </w:rPr>
        <w:t xml:space="preserve"> few conflicts across the diary period report</w:t>
      </w:r>
      <w:r w:rsidR="00997623">
        <w:rPr>
          <w:iCs/>
        </w:rPr>
        <w:t>ed</w:t>
      </w:r>
      <w:r w:rsidR="00006440">
        <w:rPr>
          <w:iCs/>
        </w:rPr>
        <w:t xml:space="preserve"> less positive affect (</w:t>
      </w:r>
      <w:r w:rsidR="00006440">
        <w:rPr>
          <w:i/>
          <w:iCs/>
        </w:rPr>
        <w:t xml:space="preserve">b </w:t>
      </w:r>
      <w:r w:rsidR="00006440">
        <w:rPr>
          <w:iCs/>
        </w:rPr>
        <w:t xml:space="preserve">= -2.36, </w:t>
      </w:r>
      <w:r w:rsidR="00006440">
        <w:rPr>
          <w:i/>
          <w:iCs/>
        </w:rPr>
        <w:t xml:space="preserve">SE </w:t>
      </w:r>
      <w:r w:rsidR="00006440">
        <w:rPr>
          <w:iCs/>
        </w:rPr>
        <w:t xml:space="preserve">= 0.78, </w:t>
      </w:r>
      <w:r w:rsidR="00006440">
        <w:rPr>
          <w:i/>
          <w:iCs/>
        </w:rPr>
        <w:t xml:space="preserve">p </w:t>
      </w:r>
      <w:r w:rsidR="00006440">
        <w:rPr>
          <w:iCs/>
        </w:rPr>
        <w:t>= .003) and more depressive symptoms (</w:t>
      </w:r>
      <w:r w:rsidR="00006440">
        <w:rPr>
          <w:i/>
          <w:iCs/>
        </w:rPr>
        <w:t xml:space="preserve">b </w:t>
      </w:r>
      <w:r w:rsidR="00006440">
        <w:rPr>
          <w:iCs/>
        </w:rPr>
        <w:t xml:space="preserve">= 1.18, </w:t>
      </w:r>
      <w:r w:rsidR="00006440">
        <w:rPr>
          <w:i/>
          <w:iCs/>
        </w:rPr>
        <w:t xml:space="preserve">SE </w:t>
      </w:r>
      <w:r w:rsidR="00006440">
        <w:rPr>
          <w:iCs/>
        </w:rPr>
        <w:t xml:space="preserve">= .40, </w:t>
      </w:r>
      <w:r w:rsidR="00006440">
        <w:rPr>
          <w:i/>
          <w:iCs/>
        </w:rPr>
        <w:t xml:space="preserve">p </w:t>
      </w:r>
      <w:r w:rsidR="00006440">
        <w:rPr>
          <w:iCs/>
        </w:rPr>
        <w:t>= .004) if they Avoid</w:t>
      </w:r>
      <w:r w:rsidR="00997623">
        <w:rPr>
          <w:iCs/>
        </w:rPr>
        <w:t>ed</w:t>
      </w:r>
      <w:r w:rsidR="00006440">
        <w:rPr>
          <w:iCs/>
        </w:rPr>
        <w:t xml:space="preserve"> their partner often. Similarly, those who report</w:t>
      </w:r>
      <w:r w:rsidR="00997623">
        <w:rPr>
          <w:iCs/>
        </w:rPr>
        <w:t>ed</w:t>
      </w:r>
      <w:r w:rsidR="00006440">
        <w:rPr>
          <w:iCs/>
        </w:rPr>
        <w:t xml:space="preserve"> many conflicts across the diary period report</w:t>
      </w:r>
      <w:r w:rsidR="00997623">
        <w:rPr>
          <w:iCs/>
        </w:rPr>
        <w:t>ed</w:t>
      </w:r>
      <w:r w:rsidR="00006440">
        <w:rPr>
          <w:iCs/>
        </w:rPr>
        <w:t xml:space="preserve"> less positive affect (marginally; </w:t>
      </w:r>
      <w:r w:rsidR="00006440">
        <w:rPr>
          <w:i/>
          <w:iCs/>
        </w:rPr>
        <w:t xml:space="preserve">b </w:t>
      </w:r>
      <w:r w:rsidR="00006440">
        <w:rPr>
          <w:iCs/>
        </w:rPr>
        <w:t xml:space="preserve">= -0.58, </w:t>
      </w:r>
      <w:r w:rsidR="00006440">
        <w:rPr>
          <w:i/>
          <w:iCs/>
        </w:rPr>
        <w:t xml:space="preserve">SE </w:t>
      </w:r>
      <w:r w:rsidR="00006440">
        <w:rPr>
          <w:iCs/>
        </w:rPr>
        <w:t xml:space="preserve">= 0.33, </w:t>
      </w:r>
      <w:r w:rsidR="00006440">
        <w:rPr>
          <w:i/>
          <w:iCs/>
        </w:rPr>
        <w:t xml:space="preserve">p </w:t>
      </w:r>
      <w:r w:rsidR="00006440">
        <w:rPr>
          <w:iCs/>
        </w:rPr>
        <w:t>= .081) and more depressive symptoms (</w:t>
      </w:r>
      <w:r w:rsidR="00006440">
        <w:rPr>
          <w:i/>
          <w:iCs/>
        </w:rPr>
        <w:t xml:space="preserve">b </w:t>
      </w:r>
      <w:r w:rsidR="00006440">
        <w:rPr>
          <w:iCs/>
        </w:rPr>
        <w:t xml:space="preserve">= 0.55, </w:t>
      </w:r>
      <w:r w:rsidR="00006440">
        <w:rPr>
          <w:i/>
          <w:iCs/>
        </w:rPr>
        <w:t xml:space="preserve">SE </w:t>
      </w:r>
      <w:r w:rsidR="00006440">
        <w:rPr>
          <w:iCs/>
        </w:rPr>
        <w:t xml:space="preserve">= 0.17, </w:t>
      </w:r>
      <w:r w:rsidR="00006440">
        <w:rPr>
          <w:i/>
          <w:iCs/>
        </w:rPr>
        <w:t xml:space="preserve">p </w:t>
      </w:r>
      <w:r w:rsidR="00006440">
        <w:rPr>
          <w:iCs/>
        </w:rPr>
        <w:t>= .002) if they Avoid</w:t>
      </w:r>
      <w:r w:rsidR="00997623">
        <w:rPr>
          <w:iCs/>
        </w:rPr>
        <w:t>ed</w:t>
      </w:r>
      <w:r w:rsidR="00006440">
        <w:rPr>
          <w:iCs/>
        </w:rPr>
        <w:t xml:space="preserve"> their partner often, although to a lesser extent than those who report few conflicts across the diary period.</w:t>
      </w:r>
    </w:p>
    <w:p w14:paraId="66B7F9CD" w14:textId="598A124C" w:rsidR="00C03EC9" w:rsidRDefault="00006440" w:rsidP="00C03EC9">
      <w:pPr>
        <w:spacing w:line="480" w:lineRule="auto"/>
        <w:ind w:firstLine="720"/>
        <w:outlineLvl w:val="0"/>
        <w:rPr>
          <w:iCs/>
        </w:rPr>
      </w:pPr>
      <w:r>
        <w:rPr>
          <w:iCs/>
        </w:rPr>
        <w:t xml:space="preserve">Third, </w:t>
      </w:r>
      <w:r w:rsidR="00C03EC9">
        <w:rPr>
          <w:iCs/>
        </w:rPr>
        <w:t>the actor’s daily use of Active Repair interacted with the number of conflicts to predict Intimacy-UA (</w:t>
      </w:r>
      <w:r w:rsidR="00C03EC9">
        <w:rPr>
          <w:i/>
          <w:iCs/>
        </w:rPr>
        <w:t xml:space="preserve">b </w:t>
      </w:r>
      <w:r w:rsidR="00C03EC9">
        <w:rPr>
          <w:iCs/>
        </w:rPr>
        <w:t xml:space="preserve">= 0.50, </w:t>
      </w:r>
      <w:r w:rsidR="00C03EC9">
        <w:rPr>
          <w:i/>
          <w:iCs/>
        </w:rPr>
        <w:t xml:space="preserve">SE </w:t>
      </w:r>
      <w:r w:rsidR="00C03EC9">
        <w:rPr>
          <w:iCs/>
        </w:rPr>
        <w:t xml:space="preserve">= 0.25, </w:t>
      </w:r>
      <w:r w:rsidR="00C03EC9">
        <w:rPr>
          <w:i/>
          <w:iCs/>
        </w:rPr>
        <w:t xml:space="preserve">p </w:t>
      </w:r>
      <w:r w:rsidR="00C03EC9">
        <w:rPr>
          <w:iCs/>
        </w:rPr>
        <w:t>= .047</w:t>
      </w:r>
      <w:r w:rsidR="00324823">
        <w:rPr>
          <w:iCs/>
        </w:rPr>
        <w:t>; see Figure 7</w:t>
      </w:r>
      <w:r w:rsidR="00C03EC9">
        <w:rPr>
          <w:iCs/>
        </w:rPr>
        <w:t>). Actors who reported few conflicts across the diary period reported similar levels of Intimacy-UA, regardless of whether they used Active Repair or not (</w:t>
      </w:r>
      <w:r w:rsidR="00C03EC9">
        <w:rPr>
          <w:i/>
          <w:iCs/>
        </w:rPr>
        <w:t xml:space="preserve">b </w:t>
      </w:r>
      <w:r w:rsidR="00C03EC9">
        <w:rPr>
          <w:iCs/>
        </w:rPr>
        <w:t xml:space="preserve">= -1.48, </w:t>
      </w:r>
      <w:r w:rsidR="00C03EC9">
        <w:rPr>
          <w:i/>
          <w:iCs/>
        </w:rPr>
        <w:t xml:space="preserve">SE </w:t>
      </w:r>
      <w:r w:rsidR="00C03EC9">
        <w:rPr>
          <w:iCs/>
        </w:rPr>
        <w:t xml:space="preserve">= 1.83, </w:t>
      </w:r>
      <w:r w:rsidR="00C03EC9">
        <w:rPr>
          <w:i/>
          <w:iCs/>
        </w:rPr>
        <w:t xml:space="preserve">p </w:t>
      </w:r>
      <w:r w:rsidR="00C03EC9">
        <w:rPr>
          <w:iCs/>
        </w:rPr>
        <w:t>=.418). However, those who reported many conflicts across the diary period reported marginally higher levels of Intimacy-UA if they used Active Repair strategies than if they did not (</w:t>
      </w:r>
      <w:r w:rsidR="00C03EC9">
        <w:rPr>
          <w:i/>
          <w:iCs/>
        </w:rPr>
        <w:t xml:space="preserve">b </w:t>
      </w:r>
      <w:r w:rsidR="00C03EC9">
        <w:rPr>
          <w:iCs/>
        </w:rPr>
        <w:t xml:space="preserve">= 1.60, </w:t>
      </w:r>
      <w:r w:rsidR="00C03EC9">
        <w:rPr>
          <w:i/>
          <w:iCs/>
        </w:rPr>
        <w:t xml:space="preserve">SE </w:t>
      </w:r>
      <w:r w:rsidR="00C03EC9">
        <w:rPr>
          <w:iCs/>
        </w:rPr>
        <w:t xml:space="preserve">= 0.87, </w:t>
      </w:r>
      <w:r w:rsidR="00C03EC9">
        <w:rPr>
          <w:i/>
          <w:iCs/>
        </w:rPr>
        <w:t xml:space="preserve">p </w:t>
      </w:r>
      <w:r w:rsidR="00C03EC9">
        <w:rPr>
          <w:iCs/>
        </w:rPr>
        <w:t>= .066).</w:t>
      </w:r>
      <w:r w:rsidR="00DE15B4">
        <w:rPr>
          <w:iCs/>
        </w:rPr>
        <w:t xml:space="preserve">  </w:t>
      </w:r>
    </w:p>
    <w:p w14:paraId="1A83FFC6" w14:textId="22D0BA5C" w:rsidR="009B23EA" w:rsidRDefault="00C03EC9" w:rsidP="009B23EA">
      <w:pPr>
        <w:spacing w:line="480" w:lineRule="auto"/>
        <w:ind w:firstLine="720"/>
        <w:outlineLvl w:val="0"/>
        <w:rPr>
          <w:iCs/>
        </w:rPr>
      </w:pPr>
      <w:r>
        <w:rPr>
          <w:iCs/>
        </w:rPr>
        <w:lastRenderedPageBreak/>
        <w:t xml:space="preserve">Fourth, </w:t>
      </w:r>
      <w:r w:rsidR="009B23EA">
        <w:rPr>
          <w:iCs/>
        </w:rPr>
        <w:t>the actor’s daily use of Gain Perspective interacted with the number of conflicts to predict Relationship Satisfaction (</w:t>
      </w:r>
      <w:r w:rsidR="009B23EA">
        <w:rPr>
          <w:i/>
          <w:iCs/>
        </w:rPr>
        <w:t xml:space="preserve">b </w:t>
      </w:r>
      <w:r w:rsidR="009B23EA">
        <w:rPr>
          <w:iCs/>
        </w:rPr>
        <w:t xml:space="preserve">= 0.24, </w:t>
      </w:r>
      <w:r w:rsidR="009B23EA">
        <w:rPr>
          <w:i/>
          <w:iCs/>
        </w:rPr>
        <w:t xml:space="preserve">SE </w:t>
      </w:r>
      <w:r w:rsidR="009B23EA">
        <w:rPr>
          <w:iCs/>
        </w:rPr>
        <w:t xml:space="preserve">= 0.10, </w:t>
      </w:r>
      <w:r w:rsidR="009B23EA">
        <w:rPr>
          <w:i/>
          <w:iCs/>
        </w:rPr>
        <w:t xml:space="preserve">p </w:t>
      </w:r>
      <w:r w:rsidR="009B23EA">
        <w:rPr>
          <w:iCs/>
        </w:rPr>
        <w:t>= .014</w:t>
      </w:r>
      <w:r w:rsidR="00324823">
        <w:rPr>
          <w:iCs/>
        </w:rPr>
        <w:t>; see Figure 8</w:t>
      </w:r>
      <w:r w:rsidR="009B23EA">
        <w:rPr>
          <w:iCs/>
        </w:rPr>
        <w:t xml:space="preserve">). Actors who reported few conflicts across the diary period reported less relationship satisfaction if they used </w:t>
      </w:r>
      <w:r w:rsidR="00997623">
        <w:rPr>
          <w:iCs/>
        </w:rPr>
        <w:t>Gain Perspective</w:t>
      </w:r>
      <w:r w:rsidR="009B23EA">
        <w:rPr>
          <w:iCs/>
        </w:rPr>
        <w:t xml:space="preserve"> (</w:t>
      </w:r>
      <w:r w:rsidR="009B23EA">
        <w:rPr>
          <w:i/>
          <w:iCs/>
        </w:rPr>
        <w:t xml:space="preserve">b </w:t>
      </w:r>
      <w:r w:rsidR="009B23EA">
        <w:rPr>
          <w:iCs/>
        </w:rPr>
        <w:t xml:space="preserve">= -1.61, </w:t>
      </w:r>
      <w:r w:rsidR="009B23EA">
        <w:rPr>
          <w:i/>
          <w:iCs/>
        </w:rPr>
        <w:t xml:space="preserve">SE </w:t>
      </w:r>
      <w:r w:rsidR="009B23EA">
        <w:rPr>
          <w:iCs/>
        </w:rPr>
        <w:t xml:space="preserve">= .68, </w:t>
      </w:r>
      <w:r w:rsidR="009B23EA">
        <w:rPr>
          <w:i/>
          <w:iCs/>
        </w:rPr>
        <w:t xml:space="preserve">p </w:t>
      </w:r>
      <w:r w:rsidR="009B23EA">
        <w:rPr>
          <w:iCs/>
        </w:rPr>
        <w:t>= .018). However, individuals who reported many conflicts across the diary reported similar levels of relationship satisfaction, regardless of whether they Gained a New Perspective or not (</w:t>
      </w:r>
      <w:r w:rsidR="009B23EA">
        <w:rPr>
          <w:i/>
          <w:iCs/>
        </w:rPr>
        <w:t xml:space="preserve">b </w:t>
      </w:r>
      <w:r w:rsidR="009B23EA">
        <w:rPr>
          <w:iCs/>
        </w:rPr>
        <w:t xml:space="preserve">= -0.13, </w:t>
      </w:r>
      <w:r w:rsidR="009B23EA">
        <w:rPr>
          <w:i/>
          <w:iCs/>
        </w:rPr>
        <w:t xml:space="preserve">SE </w:t>
      </w:r>
      <w:r w:rsidR="009B23EA">
        <w:rPr>
          <w:iCs/>
        </w:rPr>
        <w:t xml:space="preserve">= 0.33, </w:t>
      </w:r>
      <w:r w:rsidR="009B23EA">
        <w:rPr>
          <w:i/>
          <w:iCs/>
        </w:rPr>
        <w:t xml:space="preserve">p </w:t>
      </w:r>
      <w:r w:rsidR="009B23EA">
        <w:rPr>
          <w:iCs/>
        </w:rPr>
        <w:t>= .690).</w:t>
      </w:r>
    </w:p>
    <w:p w14:paraId="559252F7" w14:textId="71EDD898" w:rsidR="009B23EA" w:rsidRPr="009B23EA" w:rsidRDefault="009B23EA" w:rsidP="009B23EA">
      <w:pPr>
        <w:spacing w:line="480" w:lineRule="auto"/>
        <w:ind w:firstLine="720"/>
        <w:outlineLvl w:val="0"/>
        <w:rPr>
          <w:rFonts w:eastAsia="Times New Roman"/>
          <w:color w:val="000000" w:themeColor="text1"/>
        </w:rPr>
      </w:pPr>
      <w:r>
        <w:rPr>
          <w:iCs/>
        </w:rPr>
        <w:t>Fifth, the actor’s use of Gain a New Perspective across the diary period interacted with the number of conflicts to predict Intimacy-UA (</w:t>
      </w:r>
      <w:r>
        <w:rPr>
          <w:i/>
          <w:iCs/>
        </w:rPr>
        <w:t xml:space="preserve">b </w:t>
      </w:r>
      <w:r>
        <w:rPr>
          <w:iCs/>
        </w:rPr>
        <w:t xml:space="preserve">= -0.15, </w:t>
      </w:r>
      <w:r>
        <w:rPr>
          <w:i/>
          <w:iCs/>
        </w:rPr>
        <w:t xml:space="preserve">SE </w:t>
      </w:r>
      <w:r>
        <w:rPr>
          <w:iCs/>
        </w:rPr>
        <w:t xml:space="preserve">= .08, </w:t>
      </w:r>
      <w:r>
        <w:rPr>
          <w:i/>
          <w:iCs/>
        </w:rPr>
        <w:t xml:space="preserve">p </w:t>
      </w:r>
      <w:r>
        <w:rPr>
          <w:iCs/>
        </w:rPr>
        <w:t>= .050</w:t>
      </w:r>
      <w:r w:rsidR="00324823">
        <w:rPr>
          <w:iCs/>
        </w:rPr>
        <w:t>; see Figure 9</w:t>
      </w:r>
      <w:r>
        <w:rPr>
          <w:iCs/>
        </w:rPr>
        <w:t>). Actors who reported few conflicts across the diary period reported more Intimacy-UA if they Gained a New Perspective often (</w:t>
      </w:r>
      <w:r>
        <w:rPr>
          <w:i/>
          <w:iCs/>
        </w:rPr>
        <w:t xml:space="preserve">b </w:t>
      </w:r>
      <w:r>
        <w:rPr>
          <w:iCs/>
        </w:rPr>
        <w:t xml:space="preserve">= 1.50, </w:t>
      </w:r>
      <w:r>
        <w:rPr>
          <w:i/>
          <w:iCs/>
        </w:rPr>
        <w:t xml:space="preserve">SE </w:t>
      </w:r>
      <w:r>
        <w:rPr>
          <w:iCs/>
        </w:rPr>
        <w:t xml:space="preserve">= 0.64, </w:t>
      </w:r>
      <w:r>
        <w:rPr>
          <w:i/>
          <w:iCs/>
        </w:rPr>
        <w:t xml:space="preserve">p </w:t>
      </w:r>
      <w:r>
        <w:rPr>
          <w:iCs/>
        </w:rPr>
        <w:t>= .019)</w:t>
      </w:r>
      <w:r>
        <w:rPr>
          <w:rFonts w:eastAsia="Times New Roman"/>
          <w:color w:val="000000" w:themeColor="text1"/>
        </w:rPr>
        <w:t xml:space="preserve">. Similarly, those who reported many conflicts across the diary period also reported more Intimacy-UA if they Gained a New Perspective often, but to a lesser extent than those who reported few conflicts </w:t>
      </w:r>
      <w:r>
        <w:rPr>
          <w:iCs/>
        </w:rPr>
        <w:t>(</w:t>
      </w:r>
      <w:r>
        <w:rPr>
          <w:i/>
          <w:iCs/>
        </w:rPr>
        <w:t xml:space="preserve">b </w:t>
      </w:r>
      <w:r>
        <w:rPr>
          <w:iCs/>
        </w:rPr>
        <w:t xml:space="preserve">= 0.56, </w:t>
      </w:r>
      <w:r>
        <w:rPr>
          <w:i/>
          <w:iCs/>
        </w:rPr>
        <w:t xml:space="preserve">SE </w:t>
      </w:r>
      <w:r>
        <w:rPr>
          <w:iCs/>
        </w:rPr>
        <w:t xml:space="preserve">= .28, </w:t>
      </w:r>
      <w:r>
        <w:rPr>
          <w:i/>
          <w:iCs/>
        </w:rPr>
        <w:t xml:space="preserve">p </w:t>
      </w:r>
      <w:r>
        <w:rPr>
          <w:iCs/>
        </w:rPr>
        <w:t>= .046).</w:t>
      </w:r>
    </w:p>
    <w:p w14:paraId="4B9DF35C" w14:textId="08692296" w:rsidR="009B23EA" w:rsidRDefault="009B23EA" w:rsidP="009B23EA">
      <w:pPr>
        <w:spacing w:line="480" w:lineRule="auto"/>
        <w:ind w:firstLine="720"/>
        <w:outlineLvl w:val="0"/>
        <w:rPr>
          <w:rFonts w:eastAsia="Times New Roman"/>
          <w:color w:val="000000" w:themeColor="text1"/>
        </w:rPr>
      </w:pPr>
      <w:r>
        <w:rPr>
          <w:iCs/>
        </w:rPr>
        <w:t>Sixth, the partner’s daily use of Gain a New Perspective interacted with the number of conflicts to predict Positive Affect (</w:t>
      </w:r>
      <w:r>
        <w:rPr>
          <w:i/>
          <w:iCs/>
        </w:rPr>
        <w:t xml:space="preserve">b </w:t>
      </w:r>
      <w:r>
        <w:rPr>
          <w:iCs/>
        </w:rPr>
        <w:t xml:space="preserve">= 0.50, </w:t>
      </w:r>
      <w:r>
        <w:rPr>
          <w:i/>
          <w:iCs/>
        </w:rPr>
        <w:t xml:space="preserve">SE </w:t>
      </w:r>
      <w:r>
        <w:rPr>
          <w:iCs/>
        </w:rPr>
        <w:t xml:space="preserve">= 0.24, </w:t>
      </w:r>
      <w:r>
        <w:rPr>
          <w:i/>
          <w:iCs/>
        </w:rPr>
        <w:t xml:space="preserve">p </w:t>
      </w:r>
      <w:r>
        <w:rPr>
          <w:iCs/>
        </w:rPr>
        <w:t>= .038</w:t>
      </w:r>
      <w:r w:rsidR="00324823">
        <w:rPr>
          <w:iCs/>
        </w:rPr>
        <w:t>; see Figure 10</w:t>
      </w:r>
      <w:r>
        <w:rPr>
          <w:iCs/>
        </w:rPr>
        <w:t>). Those who reported few conflicts across the diary period reported less positive affect if their partners Gained a New Perspective (</w:t>
      </w:r>
      <w:r>
        <w:rPr>
          <w:i/>
          <w:iCs/>
        </w:rPr>
        <w:t xml:space="preserve">b </w:t>
      </w:r>
      <w:r>
        <w:rPr>
          <w:iCs/>
        </w:rPr>
        <w:t xml:space="preserve">= -2.89, </w:t>
      </w:r>
      <w:r>
        <w:rPr>
          <w:i/>
          <w:iCs/>
        </w:rPr>
        <w:t xml:space="preserve">SE </w:t>
      </w:r>
      <w:r>
        <w:rPr>
          <w:iCs/>
        </w:rPr>
        <w:t xml:space="preserve">= 1.80, </w:t>
      </w:r>
      <w:r>
        <w:rPr>
          <w:i/>
          <w:iCs/>
        </w:rPr>
        <w:t xml:space="preserve">p </w:t>
      </w:r>
      <w:r>
        <w:rPr>
          <w:iCs/>
        </w:rPr>
        <w:t>= .109). However, those who reported many conflict</w:t>
      </w:r>
      <w:r w:rsidR="0011279A">
        <w:rPr>
          <w:iCs/>
        </w:rPr>
        <w:t>s</w:t>
      </w:r>
      <w:r>
        <w:rPr>
          <w:iCs/>
        </w:rPr>
        <w:t xml:space="preserve"> across the diary period reported similar levels of positive affect, regardless of whether their partner Gained a New Perspective or not (</w:t>
      </w:r>
      <w:r>
        <w:rPr>
          <w:i/>
          <w:iCs/>
        </w:rPr>
        <w:t xml:space="preserve">b </w:t>
      </w:r>
      <w:r>
        <w:rPr>
          <w:iCs/>
        </w:rPr>
        <w:t xml:space="preserve">= 0.20, </w:t>
      </w:r>
      <w:r>
        <w:rPr>
          <w:i/>
          <w:iCs/>
        </w:rPr>
        <w:t xml:space="preserve">SE </w:t>
      </w:r>
      <w:r>
        <w:rPr>
          <w:iCs/>
        </w:rPr>
        <w:t xml:space="preserve">= 0.85, </w:t>
      </w:r>
      <w:r>
        <w:rPr>
          <w:i/>
          <w:iCs/>
        </w:rPr>
        <w:t xml:space="preserve">p </w:t>
      </w:r>
      <w:r>
        <w:rPr>
          <w:iCs/>
        </w:rPr>
        <w:t>= .817)</w:t>
      </w:r>
      <w:r>
        <w:rPr>
          <w:rFonts w:eastAsia="Times New Roman"/>
          <w:color w:val="000000" w:themeColor="text1"/>
        </w:rPr>
        <w:t>.</w:t>
      </w:r>
      <w:r w:rsidR="005062B8">
        <w:rPr>
          <w:rFonts w:eastAsia="Times New Roman"/>
          <w:color w:val="000000" w:themeColor="text1"/>
        </w:rPr>
        <w:t xml:space="preserve"> </w:t>
      </w:r>
    </w:p>
    <w:p w14:paraId="69EC68E0" w14:textId="446097ED" w:rsidR="005E32D8" w:rsidRPr="00B36986" w:rsidRDefault="002414AC" w:rsidP="005E32D8">
      <w:pPr>
        <w:spacing w:line="480" w:lineRule="auto"/>
        <w:ind w:firstLine="720"/>
        <w:outlineLvl w:val="0"/>
        <w:rPr>
          <w:rFonts w:eastAsia="Times New Roman"/>
          <w:color w:val="000000" w:themeColor="text1"/>
        </w:rPr>
      </w:pPr>
      <w:r>
        <w:rPr>
          <w:rFonts w:eastAsia="Times New Roman"/>
          <w:color w:val="000000" w:themeColor="text1"/>
        </w:rPr>
        <w:t xml:space="preserve">Seventh, the actor’s use of Letting the Conflict Go across the diary period </w:t>
      </w:r>
      <w:r w:rsidR="005E32D8">
        <w:rPr>
          <w:rFonts w:eastAsia="Times New Roman"/>
          <w:color w:val="000000" w:themeColor="text1"/>
        </w:rPr>
        <w:t xml:space="preserve">interacted with the number of conflicts to predict Depressive Symptoms </w:t>
      </w:r>
      <w:r w:rsidR="005E32D8">
        <w:rPr>
          <w:iCs/>
        </w:rPr>
        <w:t>(</w:t>
      </w:r>
      <w:r w:rsidR="005E32D8">
        <w:rPr>
          <w:i/>
          <w:iCs/>
        </w:rPr>
        <w:t xml:space="preserve">b </w:t>
      </w:r>
      <w:r w:rsidR="005E32D8">
        <w:rPr>
          <w:iCs/>
        </w:rPr>
        <w:t xml:space="preserve">= 0.14, </w:t>
      </w:r>
      <w:r w:rsidR="005E32D8">
        <w:rPr>
          <w:i/>
          <w:iCs/>
        </w:rPr>
        <w:t xml:space="preserve">SE </w:t>
      </w:r>
      <w:r w:rsidR="005E32D8">
        <w:rPr>
          <w:iCs/>
        </w:rPr>
        <w:t xml:space="preserve">= 0.07, </w:t>
      </w:r>
      <w:r w:rsidR="005E32D8">
        <w:rPr>
          <w:i/>
          <w:iCs/>
        </w:rPr>
        <w:t xml:space="preserve">p </w:t>
      </w:r>
      <w:r w:rsidR="005E32D8">
        <w:rPr>
          <w:iCs/>
        </w:rPr>
        <w:t>= .038</w:t>
      </w:r>
      <w:r w:rsidR="00324823">
        <w:rPr>
          <w:iCs/>
        </w:rPr>
        <w:t>; see Figure 11</w:t>
      </w:r>
      <w:r w:rsidR="005E32D8">
        <w:rPr>
          <w:iCs/>
        </w:rPr>
        <w:t>)</w:t>
      </w:r>
      <w:r w:rsidR="005E32D8">
        <w:rPr>
          <w:rFonts w:eastAsia="Times New Roman"/>
          <w:color w:val="000000" w:themeColor="text1"/>
        </w:rPr>
        <w:t xml:space="preserve">. Actors who reported few conflicts across the diary period reported marginally </w:t>
      </w:r>
      <w:r w:rsidR="00022750">
        <w:rPr>
          <w:rFonts w:eastAsia="Times New Roman"/>
          <w:color w:val="000000" w:themeColor="text1"/>
        </w:rPr>
        <w:t xml:space="preserve">fewer </w:t>
      </w:r>
      <w:r w:rsidR="005E32D8">
        <w:rPr>
          <w:rFonts w:eastAsia="Times New Roman"/>
          <w:color w:val="000000" w:themeColor="text1"/>
        </w:rPr>
        <w:t xml:space="preserve">depressive symptoms if they Let the Conflict Go often </w:t>
      </w:r>
      <w:r w:rsidR="005E32D8">
        <w:rPr>
          <w:iCs/>
        </w:rPr>
        <w:t>(</w:t>
      </w:r>
      <w:r w:rsidR="005E32D8">
        <w:rPr>
          <w:i/>
          <w:iCs/>
        </w:rPr>
        <w:t xml:space="preserve">b </w:t>
      </w:r>
      <w:r w:rsidR="005E32D8">
        <w:rPr>
          <w:iCs/>
        </w:rPr>
        <w:t xml:space="preserve">= -0.90, </w:t>
      </w:r>
      <w:r w:rsidR="005E32D8">
        <w:rPr>
          <w:i/>
          <w:iCs/>
        </w:rPr>
        <w:t xml:space="preserve">SE </w:t>
      </w:r>
      <w:r w:rsidR="005E32D8">
        <w:rPr>
          <w:iCs/>
        </w:rPr>
        <w:t xml:space="preserve">= 0.49, </w:t>
      </w:r>
      <w:r w:rsidR="005E32D8">
        <w:rPr>
          <w:i/>
          <w:iCs/>
        </w:rPr>
        <w:t xml:space="preserve">p </w:t>
      </w:r>
      <w:r w:rsidR="005E32D8">
        <w:rPr>
          <w:iCs/>
        </w:rPr>
        <w:t>= .069)</w:t>
      </w:r>
      <w:r w:rsidR="005E32D8">
        <w:rPr>
          <w:rFonts w:eastAsia="Times New Roman"/>
          <w:color w:val="000000" w:themeColor="text1"/>
        </w:rPr>
        <w:t xml:space="preserve">. However, </w:t>
      </w:r>
      <w:r w:rsidR="005E32D8">
        <w:rPr>
          <w:rFonts w:eastAsia="Times New Roman"/>
          <w:color w:val="000000" w:themeColor="text1"/>
        </w:rPr>
        <w:lastRenderedPageBreak/>
        <w:t xml:space="preserve">those who reported many conflicts across the diary period reported similar levels of depressive symptoms regardless of how often they Let the Conflict Go </w:t>
      </w:r>
      <w:r w:rsidR="005E32D8">
        <w:rPr>
          <w:iCs/>
        </w:rPr>
        <w:t>(</w:t>
      </w:r>
      <w:r w:rsidR="005E32D8">
        <w:rPr>
          <w:i/>
          <w:iCs/>
        </w:rPr>
        <w:t xml:space="preserve">b </w:t>
      </w:r>
      <w:r w:rsidR="005E32D8">
        <w:rPr>
          <w:iCs/>
        </w:rPr>
        <w:t xml:space="preserve">= -0.05, </w:t>
      </w:r>
      <w:r w:rsidR="005E32D8">
        <w:rPr>
          <w:i/>
          <w:iCs/>
        </w:rPr>
        <w:t xml:space="preserve">SE </w:t>
      </w:r>
      <w:r w:rsidR="005E32D8">
        <w:rPr>
          <w:iCs/>
        </w:rPr>
        <w:t xml:space="preserve">= 0.19, </w:t>
      </w:r>
      <w:r w:rsidR="005E32D8">
        <w:rPr>
          <w:i/>
          <w:iCs/>
        </w:rPr>
        <w:t xml:space="preserve">p </w:t>
      </w:r>
      <w:r w:rsidR="005E32D8">
        <w:rPr>
          <w:iCs/>
        </w:rPr>
        <w:t>= .785).</w:t>
      </w:r>
    </w:p>
    <w:p w14:paraId="2174363D" w14:textId="7F1C9D43" w:rsidR="005E32D8" w:rsidRDefault="005E32D8" w:rsidP="005E32D8">
      <w:pPr>
        <w:spacing w:line="480" w:lineRule="auto"/>
        <w:ind w:firstLine="720"/>
        <w:outlineLvl w:val="0"/>
        <w:rPr>
          <w:rFonts w:eastAsia="Times New Roman"/>
          <w:color w:val="000000" w:themeColor="text1"/>
        </w:rPr>
      </w:pPr>
      <w:r>
        <w:rPr>
          <w:rFonts w:eastAsia="Times New Roman"/>
          <w:color w:val="000000" w:themeColor="text1"/>
        </w:rPr>
        <w:t xml:space="preserve">Eighth, the partner’s daily use of Letting the Conflict Go interacted with the number of conflicts to predict Negative Affect </w:t>
      </w:r>
      <w:r>
        <w:rPr>
          <w:iCs/>
        </w:rPr>
        <w:t>(</w:t>
      </w:r>
      <w:r>
        <w:rPr>
          <w:i/>
          <w:iCs/>
        </w:rPr>
        <w:t xml:space="preserve">b </w:t>
      </w:r>
      <w:r>
        <w:rPr>
          <w:iCs/>
        </w:rPr>
        <w:t xml:space="preserve">= -0.45, </w:t>
      </w:r>
      <w:r>
        <w:rPr>
          <w:i/>
          <w:iCs/>
        </w:rPr>
        <w:t xml:space="preserve">SE </w:t>
      </w:r>
      <w:r>
        <w:rPr>
          <w:iCs/>
        </w:rPr>
        <w:t xml:space="preserve">= 0.21, </w:t>
      </w:r>
      <w:r>
        <w:rPr>
          <w:i/>
          <w:iCs/>
        </w:rPr>
        <w:t xml:space="preserve">p </w:t>
      </w:r>
      <w:r>
        <w:rPr>
          <w:iCs/>
        </w:rPr>
        <w:t>= .030</w:t>
      </w:r>
      <w:r w:rsidR="00324823">
        <w:rPr>
          <w:iCs/>
        </w:rPr>
        <w:t>; see Figure 12</w:t>
      </w:r>
      <w:r>
        <w:rPr>
          <w:iCs/>
        </w:rPr>
        <w:t>). Those who reported few conflicts across the diary period reported marginally more negative affect (</w:t>
      </w:r>
      <w:r>
        <w:rPr>
          <w:i/>
          <w:iCs/>
        </w:rPr>
        <w:t xml:space="preserve">b </w:t>
      </w:r>
      <w:r>
        <w:rPr>
          <w:iCs/>
        </w:rPr>
        <w:t xml:space="preserve">= 2.87, </w:t>
      </w:r>
      <w:r>
        <w:rPr>
          <w:i/>
          <w:iCs/>
        </w:rPr>
        <w:t xml:space="preserve">SE </w:t>
      </w:r>
      <w:r>
        <w:rPr>
          <w:iCs/>
        </w:rPr>
        <w:t xml:space="preserve">= 1.53, </w:t>
      </w:r>
      <w:r>
        <w:rPr>
          <w:i/>
          <w:iCs/>
        </w:rPr>
        <w:t xml:space="preserve">p </w:t>
      </w:r>
      <w:r>
        <w:rPr>
          <w:iCs/>
        </w:rPr>
        <w:t>= .061) if their partner Let the Conflict Go than if their partner did not. However, those who reported many conflicts across the diary period reported similar levels of negative affect regardless of whether their partners let the conflict go or not (</w:t>
      </w:r>
      <w:r>
        <w:rPr>
          <w:i/>
          <w:iCs/>
        </w:rPr>
        <w:t xml:space="preserve">b </w:t>
      </w:r>
      <w:r>
        <w:rPr>
          <w:iCs/>
        </w:rPr>
        <w:t xml:space="preserve">= 0.12, </w:t>
      </w:r>
      <w:r>
        <w:rPr>
          <w:i/>
          <w:iCs/>
        </w:rPr>
        <w:t xml:space="preserve">SE </w:t>
      </w:r>
      <w:r>
        <w:rPr>
          <w:iCs/>
        </w:rPr>
        <w:t xml:space="preserve">= 0.76, </w:t>
      </w:r>
      <w:r>
        <w:rPr>
          <w:i/>
          <w:iCs/>
        </w:rPr>
        <w:t xml:space="preserve">p </w:t>
      </w:r>
      <w:r>
        <w:rPr>
          <w:iCs/>
        </w:rPr>
        <w:t>= .874)</w:t>
      </w:r>
      <w:r>
        <w:rPr>
          <w:rFonts w:eastAsia="Times New Roman"/>
          <w:color w:val="000000" w:themeColor="text1"/>
        </w:rPr>
        <w:t>.</w:t>
      </w:r>
    </w:p>
    <w:p w14:paraId="53B245B4" w14:textId="23816068" w:rsidR="00656DFE" w:rsidRDefault="00CA448B" w:rsidP="00CA448B">
      <w:pPr>
        <w:spacing w:line="480" w:lineRule="auto"/>
        <w:ind w:firstLine="720"/>
        <w:outlineLvl w:val="0"/>
        <w:rPr>
          <w:rFonts w:eastAsia="Times New Roman"/>
          <w:color w:val="000000" w:themeColor="text1"/>
        </w:rPr>
      </w:pPr>
      <w:r>
        <w:rPr>
          <w:rFonts w:eastAsia="Times New Roman"/>
          <w:color w:val="000000" w:themeColor="text1"/>
        </w:rPr>
        <w:t xml:space="preserve">In sum, the number of conflicts reported across the diary interacts with PCBC dimensions to predict some indices of recovery. </w:t>
      </w:r>
      <w:r w:rsidR="00656DFE">
        <w:rPr>
          <w:rFonts w:eastAsia="Times New Roman"/>
          <w:color w:val="000000" w:themeColor="text1"/>
        </w:rPr>
        <w:t xml:space="preserve">Avoidance is associated with poorer recovery </w:t>
      </w:r>
      <w:r w:rsidR="006446FE">
        <w:rPr>
          <w:rFonts w:eastAsia="Times New Roman"/>
          <w:color w:val="000000" w:themeColor="text1"/>
        </w:rPr>
        <w:t>regardless, but especially for those with few conflicts.</w:t>
      </w:r>
      <w:r>
        <w:rPr>
          <w:rFonts w:eastAsia="Times New Roman"/>
          <w:color w:val="000000" w:themeColor="text1"/>
        </w:rPr>
        <w:t xml:space="preserve"> </w:t>
      </w:r>
      <w:r w:rsidR="006446FE">
        <w:rPr>
          <w:rFonts w:eastAsia="Times New Roman"/>
          <w:color w:val="000000" w:themeColor="text1"/>
        </w:rPr>
        <w:t xml:space="preserve">Active repair </w:t>
      </w:r>
      <w:r>
        <w:rPr>
          <w:rFonts w:eastAsia="Times New Roman"/>
          <w:color w:val="000000" w:themeColor="text1"/>
        </w:rPr>
        <w:t xml:space="preserve">is associated with </w:t>
      </w:r>
      <w:r w:rsidR="006446FE">
        <w:rPr>
          <w:rFonts w:eastAsia="Times New Roman"/>
          <w:color w:val="000000" w:themeColor="text1"/>
        </w:rPr>
        <w:t xml:space="preserve">better </w:t>
      </w:r>
      <w:r w:rsidR="00DE51E4">
        <w:rPr>
          <w:rFonts w:eastAsia="Times New Roman"/>
          <w:color w:val="000000" w:themeColor="text1"/>
        </w:rPr>
        <w:t xml:space="preserve">recovery </w:t>
      </w:r>
      <w:r w:rsidR="006446FE">
        <w:rPr>
          <w:rFonts w:eastAsia="Times New Roman"/>
          <w:color w:val="000000" w:themeColor="text1"/>
        </w:rPr>
        <w:t>for those with many conflicts</w:t>
      </w:r>
      <w:r>
        <w:rPr>
          <w:rFonts w:eastAsia="Times New Roman"/>
          <w:color w:val="000000" w:themeColor="text1"/>
        </w:rPr>
        <w:t xml:space="preserve">. </w:t>
      </w:r>
      <w:r w:rsidR="00DE51E4">
        <w:rPr>
          <w:rFonts w:eastAsia="Times New Roman"/>
          <w:color w:val="000000" w:themeColor="text1"/>
        </w:rPr>
        <w:t xml:space="preserve">In contrast, </w:t>
      </w:r>
      <w:r w:rsidR="00656DFE">
        <w:rPr>
          <w:rFonts w:eastAsia="Times New Roman"/>
          <w:color w:val="000000" w:themeColor="text1"/>
        </w:rPr>
        <w:t xml:space="preserve">those who reported few conflicts across the diary </w:t>
      </w:r>
      <w:r w:rsidR="00DE51E4">
        <w:rPr>
          <w:rFonts w:eastAsia="Times New Roman"/>
          <w:color w:val="000000" w:themeColor="text1"/>
        </w:rPr>
        <w:t>had worse recoveries, conflict by conflict, if either tried one of the strategies on the G</w:t>
      </w:r>
      <w:r w:rsidR="006446FE">
        <w:rPr>
          <w:rFonts w:eastAsia="Times New Roman"/>
          <w:color w:val="000000" w:themeColor="text1"/>
        </w:rPr>
        <w:t xml:space="preserve">ain </w:t>
      </w:r>
      <w:r w:rsidR="00DE51E4">
        <w:rPr>
          <w:rFonts w:eastAsia="Times New Roman"/>
          <w:color w:val="000000" w:themeColor="text1"/>
        </w:rPr>
        <w:t>P</w:t>
      </w:r>
      <w:r w:rsidR="006446FE">
        <w:rPr>
          <w:rFonts w:eastAsia="Times New Roman"/>
          <w:color w:val="000000" w:themeColor="text1"/>
        </w:rPr>
        <w:t xml:space="preserve">erspective </w:t>
      </w:r>
      <w:r w:rsidR="00DE51E4">
        <w:rPr>
          <w:rFonts w:eastAsia="Times New Roman"/>
          <w:color w:val="000000" w:themeColor="text1"/>
        </w:rPr>
        <w:t>dimension</w:t>
      </w:r>
      <w:r w:rsidR="00656DFE">
        <w:rPr>
          <w:rFonts w:eastAsia="Times New Roman"/>
          <w:color w:val="000000" w:themeColor="text1"/>
        </w:rPr>
        <w:t xml:space="preserve">, but </w:t>
      </w:r>
      <w:r w:rsidR="00DE51E4">
        <w:rPr>
          <w:rFonts w:eastAsia="Times New Roman"/>
          <w:color w:val="000000" w:themeColor="text1"/>
        </w:rPr>
        <w:t xml:space="preserve">had </w:t>
      </w:r>
      <w:r w:rsidR="00656DFE">
        <w:rPr>
          <w:rFonts w:eastAsia="Times New Roman"/>
          <w:color w:val="000000" w:themeColor="text1"/>
        </w:rPr>
        <w:t>better recover</w:t>
      </w:r>
      <w:r w:rsidR="00DE51E4">
        <w:rPr>
          <w:rFonts w:eastAsia="Times New Roman"/>
          <w:color w:val="000000" w:themeColor="text1"/>
        </w:rPr>
        <w:t>ies</w:t>
      </w:r>
      <w:r w:rsidR="00656DFE">
        <w:rPr>
          <w:rFonts w:eastAsia="Times New Roman"/>
          <w:color w:val="000000" w:themeColor="text1"/>
        </w:rPr>
        <w:t xml:space="preserve"> if </w:t>
      </w:r>
      <w:r w:rsidR="00DE51E4">
        <w:rPr>
          <w:rFonts w:eastAsia="Times New Roman"/>
          <w:color w:val="000000" w:themeColor="text1"/>
        </w:rPr>
        <w:t xml:space="preserve">they consistently Gained Perspective </w:t>
      </w:r>
      <w:r w:rsidR="00A4052A">
        <w:rPr>
          <w:rFonts w:eastAsia="Times New Roman"/>
          <w:color w:val="000000" w:themeColor="text1"/>
        </w:rPr>
        <w:t xml:space="preserve">after conflicts </w:t>
      </w:r>
      <w:r w:rsidR="008558DC">
        <w:rPr>
          <w:rFonts w:eastAsia="Times New Roman"/>
          <w:color w:val="000000" w:themeColor="text1"/>
        </w:rPr>
        <w:t>over the two-</w:t>
      </w:r>
      <w:r w:rsidR="00DE51E4">
        <w:rPr>
          <w:rFonts w:eastAsia="Times New Roman"/>
          <w:color w:val="000000" w:themeColor="text1"/>
        </w:rPr>
        <w:t>week period</w:t>
      </w:r>
      <w:r w:rsidR="00656DFE">
        <w:rPr>
          <w:rFonts w:eastAsia="Times New Roman"/>
          <w:color w:val="000000" w:themeColor="text1"/>
        </w:rPr>
        <w:t>.</w:t>
      </w:r>
      <w:r>
        <w:rPr>
          <w:rFonts w:eastAsia="Times New Roman"/>
          <w:color w:val="000000" w:themeColor="text1"/>
        </w:rPr>
        <w:t xml:space="preserve"> Last, p</w:t>
      </w:r>
      <w:r w:rsidR="00656DFE">
        <w:rPr>
          <w:rFonts w:eastAsia="Times New Roman"/>
          <w:color w:val="000000" w:themeColor="text1"/>
        </w:rPr>
        <w:t xml:space="preserve">articularly for those who reported few conflicts across the diary, their </w:t>
      </w:r>
      <w:r w:rsidR="00A4052A">
        <w:rPr>
          <w:rFonts w:eastAsia="Times New Roman"/>
          <w:color w:val="000000" w:themeColor="text1"/>
        </w:rPr>
        <w:t xml:space="preserve">Letting </w:t>
      </w:r>
      <w:r w:rsidR="00656DFE">
        <w:rPr>
          <w:rFonts w:eastAsia="Times New Roman"/>
          <w:color w:val="000000" w:themeColor="text1"/>
        </w:rPr>
        <w:t xml:space="preserve">the conflict go was associated with better recovery, but </w:t>
      </w:r>
      <w:r w:rsidR="00A4052A">
        <w:rPr>
          <w:rFonts w:eastAsia="Times New Roman"/>
          <w:color w:val="000000" w:themeColor="text1"/>
        </w:rPr>
        <w:t xml:space="preserve">when </w:t>
      </w:r>
      <w:r w:rsidR="00656DFE">
        <w:rPr>
          <w:rFonts w:eastAsia="Times New Roman"/>
          <w:color w:val="000000" w:themeColor="text1"/>
        </w:rPr>
        <w:t>their partner</w:t>
      </w:r>
      <w:r w:rsidR="00A4052A">
        <w:rPr>
          <w:rFonts w:eastAsia="Times New Roman"/>
          <w:color w:val="000000" w:themeColor="text1"/>
        </w:rPr>
        <w:t xml:space="preserve"> Let a conflict go, they had </w:t>
      </w:r>
      <w:r w:rsidR="00656DFE">
        <w:rPr>
          <w:rFonts w:eastAsia="Times New Roman"/>
          <w:color w:val="000000" w:themeColor="text1"/>
        </w:rPr>
        <w:t>worse recover</w:t>
      </w:r>
      <w:r w:rsidR="00A4052A">
        <w:rPr>
          <w:rFonts w:eastAsia="Times New Roman"/>
          <w:color w:val="000000" w:themeColor="text1"/>
        </w:rPr>
        <w:t>ies</w:t>
      </w:r>
      <w:r w:rsidR="00656DFE">
        <w:rPr>
          <w:rFonts w:eastAsia="Times New Roman"/>
          <w:color w:val="000000" w:themeColor="text1"/>
        </w:rPr>
        <w:t>.</w:t>
      </w:r>
    </w:p>
    <w:p w14:paraId="7101D18C" w14:textId="7FB75E56" w:rsidR="00FF3E1C" w:rsidRDefault="00FF3E1C" w:rsidP="00FF3E1C">
      <w:pPr>
        <w:spacing w:line="480" w:lineRule="auto"/>
        <w:outlineLvl w:val="0"/>
        <w:rPr>
          <w:rFonts w:eastAsia="Times New Roman"/>
          <w:b/>
          <w:color w:val="000000" w:themeColor="text1"/>
        </w:rPr>
      </w:pPr>
      <w:r>
        <w:rPr>
          <w:rFonts w:eastAsia="Times New Roman"/>
          <w:b/>
          <w:color w:val="000000" w:themeColor="text1"/>
        </w:rPr>
        <w:t>Conflict Seriousness as a Moderator</w:t>
      </w:r>
    </w:p>
    <w:p w14:paraId="008A9735" w14:textId="355C42E2" w:rsidR="00143535" w:rsidRDefault="007608BD" w:rsidP="00F50E22">
      <w:pPr>
        <w:spacing w:line="480" w:lineRule="auto"/>
        <w:ind w:firstLine="720"/>
        <w:outlineLvl w:val="0"/>
        <w:rPr>
          <w:rFonts w:eastAsia="Times New Roman"/>
          <w:color w:val="000000" w:themeColor="text1"/>
        </w:rPr>
      </w:pPr>
      <w:r>
        <w:rPr>
          <w:iCs/>
        </w:rPr>
        <w:t>We</w:t>
      </w:r>
      <w:r w:rsidR="00FF3E1C">
        <w:rPr>
          <w:iCs/>
        </w:rPr>
        <w:t xml:space="preserve"> found </w:t>
      </w:r>
      <w:r w:rsidR="0081040E">
        <w:rPr>
          <w:iCs/>
        </w:rPr>
        <w:t>13</w:t>
      </w:r>
      <w:r w:rsidR="00FF3E1C">
        <w:rPr>
          <w:iCs/>
        </w:rPr>
        <w:t xml:space="preserve"> interactions between </w:t>
      </w:r>
      <w:r w:rsidR="00174E02">
        <w:rPr>
          <w:iCs/>
        </w:rPr>
        <w:t xml:space="preserve">PCBC </w:t>
      </w:r>
      <w:r w:rsidR="00FF3E1C">
        <w:rPr>
          <w:iCs/>
        </w:rPr>
        <w:t xml:space="preserve">post-conflict behavior dimensions and daily conflict seriousness. </w:t>
      </w:r>
      <w:r w:rsidR="00F32D71">
        <w:rPr>
          <w:iCs/>
        </w:rPr>
        <w:t xml:space="preserve">First, the actor’s daily </w:t>
      </w:r>
      <w:r w:rsidR="00B91854">
        <w:rPr>
          <w:iCs/>
        </w:rPr>
        <w:t xml:space="preserve">post-conflict </w:t>
      </w:r>
      <w:r w:rsidR="00F32D71">
        <w:rPr>
          <w:iCs/>
        </w:rPr>
        <w:t xml:space="preserve">Avoidance interacted with conflict seriousness </w:t>
      </w:r>
      <w:r w:rsidR="00143535">
        <w:rPr>
          <w:iCs/>
        </w:rPr>
        <w:t>to predict depressive symptoms (</w:t>
      </w:r>
      <w:r w:rsidR="00143535">
        <w:rPr>
          <w:i/>
          <w:iCs/>
        </w:rPr>
        <w:t xml:space="preserve">b </w:t>
      </w:r>
      <w:r w:rsidR="00143535">
        <w:rPr>
          <w:iCs/>
        </w:rPr>
        <w:t xml:space="preserve">= 1.68, </w:t>
      </w:r>
      <w:r w:rsidR="00143535">
        <w:rPr>
          <w:i/>
          <w:iCs/>
        </w:rPr>
        <w:t xml:space="preserve">SE </w:t>
      </w:r>
      <w:r w:rsidR="00143535">
        <w:rPr>
          <w:iCs/>
        </w:rPr>
        <w:t xml:space="preserve">= 0.50, </w:t>
      </w:r>
      <w:r w:rsidR="00143535">
        <w:rPr>
          <w:i/>
          <w:iCs/>
        </w:rPr>
        <w:t xml:space="preserve">p </w:t>
      </w:r>
      <w:r w:rsidR="00143535">
        <w:rPr>
          <w:iCs/>
        </w:rPr>
        <w:t>= .001</w:t>
      </w:r>
      <w:r w:rsidR="00324823">
        <w:rPr>
          <w:iCs/>
        </w:rPr>
        <w:t>; see Figure 13</w:t>
      </w:r>
      <w:r w:rsidR="00143535">
        <w:rPr>
          <w:iCs/>
        </w:rPr>
        <w:t>). When the conflict was not serious, actors reported similar levels of depressive symptoms (</w:t>
      </w:r>
      <w:r w:rsidR="00143535">
        <w:rPr>
          <w:i/>
          <w:iCs/>
        </w:rPr>
        <w:t xml:space="preserve">b </w:t>
      </w:r>
      <w:r w:rsidR="00143535">
        <w:rPr>
          <w:iCs/>
        </w:rPr>
        <w:t xml:space="preserve">= </w:t>
      </w:r>
      <w:r w:rsidR="00F50E22">
        <w:rPr>
          <w:iCs/>
        </w:rPr>
        <w:t>-0.16</w:t>
      </w:r>
      <w:r w:rsidR="00143535">
        <w:rPr>
          <w:iCs/>
        </w:rPr>
        <w:t xml:space="preserve">, </w:t>
      </w:r>
      <w:r w:rsidR="00143535">
        <w:rPr>
          <w:i/>
          <w:iCs/>
        </w:rPr>
        <w:t xml:space="preserve">SE </w:t>
      </w:r>
      <w:r w:rsidR="00143535">
        <w:rPr>
          <w:iCs/>
        </w:rPr>
        <w:lastRenderedPageBreak/>
        <w:t xml:space="preserve">= </w:t>
      </w:r>
      <w:r w:rsidR="00F50E22">
        <w:rPr>
          <w:iCs/>
        </w:rPr>
        <w:t>0.51</w:t>
      </w:r>
      <w:r w:rsidR="00143535">
        <w:rPr>
          <w:iCs/>
        </w:rPr>
        <w:t xml:space="preserve">, </w:t>
      </w:r>
      <w:r w:rsidR="00143535">
        <w:rPr>
          <w:i/>
          <w:iCs/>
        </w:rPr>
        <w:t xml:space="preserve">p </w:t>
      </w:r>
      <w:r w:rsidR="00143535">
        <w:rPr>
          <w:iCs/>
        </w:rPr>
        <w:t xml:space="preserve">= </w:t>
      </w:r>
      <w:r w:rsidR="00F50E22">
        <w:rPr>
          <w:iCs/>
        </w:rPr>
        <w:t>.759</w:t>
      </w:r>
      <w:r w:rsidR="00143535">
        <w:rPr>
          <w:iCs/>
        </w:rPr>
        <w:t>)</w:t>
      </w:r>
      <w:r w:rsidR="00B91854">
        <w:rPr>
          <w:iCs/>
        </w:rPr>
        <w:t xml:space="preserve"> regardless of their Avoidance level</w:t>
      </w:r>
      <w:r w:rsidR="00143535">
        <w:rPr>
          <w:rFonts w:eastAsia="Times New Roman"/>
          <w:color w:val="000000" w:themeColor="text1"/>
        </w:rPr>
        <w:t xml:space="preserve">. However, when the conflict was serious, actors </w:t>
      </w:r>
      <w:r w:rsidR="00F50E22">
        <w:rPr>
          <w:rFonts w:eastAsia="Times New Roman"/>
          <w:color w:val="000000" w:themeColor="text1"/>
        </w:rPr>
        <w:t xml:space="preserve">reported more depressive symptoms if they Avoided the partner than if they did not </w:t>
      </w:r>
      <w:r w:rsidR="00F50E22">
        <w:rPr>
          <w:iCs/>
        </w:rPr>
        <w:t>(</w:t>
      </w:r>
      <w:r w:rsidR="00F50E22">
        <w:rPr>
          <w:i/>
          <w:iCs/>
        </w:rPr>
        <w:t xml:space="preserve">b </w:t>
      </w:r>
      <w:r w:rsidR="00F50E22">
        <w:rPr>
          <w:iCs/>
        </w:rPr>
        <w:t xml:space="preserve">= 2.63, </w:t>
      </w:r>
      <w:r w:rsidR="00F50E22">
        <w:rPr>
          <w:i/>
          <w:iCs/>
        </w:rPr>
        <w:t xml:space="preserve">SE </w:t>
      </w:r>
      <w:r w:rsidR="00F50E22">
        <w:rPr>
          <w:iCs/>
        </w:rPr>
        <w:t xml:space="preserve">= 0.59, </w:t>
      </w:r>
      <w:r w:rsidR="00F50E22">
        <w:rPr>
          <w:i/>
          <w:iCs/>
        </w:rPr>
        <w:t xml:space="preserve">p </w:t>
      </w:r>
      <w:r w:rsidR="00F50E22">
        <w:rPr>
          <w:iCs/>
        </w:rPr>
        <w:t>&lt; .001)</w:t>
      </w:r>
      <w:r w:rsidR="00F50E22">
        <w:rPr>
          <w:rFonts w:eastAsia="Times New Roman"/>
          <w:color w:val="000000" w:themeColor="text1"/>
        </w:rPr>
        <w:t>.</w:t>
      </w:r>
    </w:p>
    <w:p w14:paraId="65095678" w14:textId="0C14852F" w:rsidR="009B7B74" w:rsidRDefault="00F50E22" w:rsidP="009B7B74">
      <w:pPr>
        <w:spacing w:line="480" w:lineRule="auto"/>
        <w:ind w:firstLine="720"/>
        <w:outlineLvl w:val="0"/>
        <w:rPr>
          <w:iCs/>
        </w:rPr>
      </w:pPr>
      <w:r>
        <w:rPr>
          <w:rFonts w:eastAsia="Times New Roman"/>
          <w:color w:val="000000" w:themeColor="text1"/>
        </w:rPr>
        <w:t>Second</w:t>
      </w:r>
      <w:r w:rsidR="00C1029B">
        <w:rPr>
          <w:rFonts w:eastAsia="Times New Roman"/>
          <w:color w:val="000000" w:themeColor="text1"/>
        </w:rPr>
        <w:t>,</w:t>
      </w:r>
      <w:r>
        <w:rPr>
          <w:rFonts w:eastAsia="Times New Roman"/>
          <w:color w:val="000000" w:themeColor="text1"/>
        </w:rPr>
        <w:t xml:space="preserve"> the partner’s</w:t>
      </w:r>
      <w:r w:rsidR="00C1029B">
        <w:rPr>
          <w:rFonts w:eastAsia="Times New Roman"/>
          <w:color w:val="000000" w:themeColor="text1"/>
        </w:rPr>
        <w:t xml:space="preserve"> daily</w:t>
      </w:r>
      <w:r>
        <w:rPr>
          <w:rFonts w:eastAsia="Times New Roman"/>
          <w:color w:val="000000" w:themeColor="text1"/>
        </w:rPr>
        <w:t xml:space="preserve"> use </w:t>
      </w:r>
      <w:r w:rsidR="00C1029B">
        <w:rPr>
          <w:rFonts w:eastAsia="Times New Roman"/>
          <w:color w:val="000000" w:themeColor="text1"/>
        </w:rPr>
        <w:t xml:space="preserve">of Avoidance interacted with conflict seriousness to predict </w:t>
      </w:r>
      <w:r w:rsidR="005D1B30">
        <w:rPr>
          <w:rFonts w:eastAsia="Times New Roman"/>
          <w:color w:val="000000" w:themeColor="text1"/>
        </w:rPr>
        <w:t xml:space="preserve">relationship satisfaction </w:t>
      </w:r>
      <w:r w:rsidR="00C1029B">
        <w:rPr>
          <w:iCs/>
        </w:rPr>
        <w:t>(</w:t>
      </w:r>
      <w:r w:rsidR="00C1029B">
        <w:rPr>
          <w:i/>
          <w:iCs/>
        </w:rPr>
        <w:t xml:space="preserve">b </w:t>
      </w:r>
      <w:r w:rsidR="00C1029B">
        <w:rPr>
          <w:iCs/>
        </w:rPr>
        <w:t xml:space="preserve">= -1.93, </w:t>
      </w:r>
      <w:r w:rsidR="00C1029B">
        <w:rPr>
          <w:i/>
          <w:iCs/>
        </w:rPr>
        <w:t xml:space="preserve">SE </w:t>
      </w:r>
      <w:r w:rsidR="00C1029B">
        <w:rPr>
          <w:iCs/>
        </w:rPr>
        <w:t xml:space="preserve">= 0.38, </w:t>
      </w:r>
      <w:r w:rsidR="00C1029B">
        <w:rPr>
          <w:i/>
          <w:iCs/>
        </w:rPr>
        <w:t xml:space="preserve">p </w:t>
      </w:r>
      <w:r w:rsidR="00C1029B">
        <w:rPr>
          <w:iCs/>
        </w:rPr>
        <w:t>&lt; .001</w:t>
      </w:r>
      <w:r w:rsidR="00324823">
        <w:rPr>
          <w:iCs/>
        </w:rPr>
        <w:t>; see Figure 14</w:t>
      </w:r>
      <w:r w:rsidR="00C1029B">
        <w:rPr>
          <w:iCs/>
        </w:rPr>
        <w:t xml:space="preserve">). </w:t>
      </w:r>
      <w:r w:rsidR="009B7B74">
        <w:rPr>
          <w:iCs/>
        </w:rPr>
        <w:t>When the conflict was not serious, actors reported similar levels of relationship satisfaction, regardless of whether their partner Avoided them or not (</w:t>
      </w:r>
      <w:r w:rsidR="009B7B74">
        <w:rPr>
          <w:i/>
          <w:iCs/>
        </w:rPr>
        <w:t xml:space="preserve">b </w:t>
      </w:r>
      <w:r w:rsidR="009B7B74">
        <w:rPr>
          <w:iCs/>
        </w:rPr>
        <w:t xml:space="preserve">= 0.70, </w:t>
      </w:r>
      <w:r w:rsidR="009B7B74">
        <w:rPr>
          <w:i/>
          <w:iCs/>
        </w:rPr>
        <w:t xml:space="preserve">SE </w:t>
      </w:r>
      <w:r w:rsidR="009B7B74">
        <w:rPr>
          <w:iCs/>
        </w:rPr>
        <w:t xml:space="preserve">= 0.41, </w:t>
      </w:r>
      <w:r w:rsidR="009B7B74">
        <w:rPr>
          <w:i/>
          <w:iCs/>
        </w:rPr>
        <w:t xml:space="preserve">p </w:t>
      </w:r>
      <w:r w:rsidR="009B7B74">
        <w:rPr>
          <w:iCs/>
        </w:rPr>
        <w:t>= .089)</w:t>
      </w:r>
      <w:r w:rsidR="009B7B74">
        <w:rPr>
          <w:rFonts w:eastAsia="Times New Roman"/>
          <w:color w:val="000000" w:themeColor="text1"/>
        </w:rPr>
        <w:t xml:space="preserve">. However, when the conflict was serious, actors reported less relationship satisfaction if their partner Avoided them </w:t>
      </w:r>
      <w:r w:rsidR="00AD2427">
        <w:rPr>
          <w:iCs/>
        </w:rPr>
        <w:t xml:space="preserve">than if their partner did not avoid them </w:t>
      </w:r>
      <w:r w:rsidR="009B7B74">
        <w:rPr>
          <w:iCs/>
        </w:rPr>
        <w:t>(</w:t>
      </w:r>
      <w:r w:rsidR="009B7B74">
        <w:rPr>
          <w:i/>
          <w:iCs/>
        </w:rPr>
        <w:t xml:space="preserve">b </w:t>
      </w:r>
      <w:r w:rsidR="009B7B74">
        <w:rPr>
          <w:iCs/>
        </w:rPr>
        <w:t xml:space="preserve">= -2.52, </w:t>
      </w:r>
      <w:r w:rsidR="009B7B74">
        <w:rPr>
          <w:i/>
          <w:iCs/>
        </w:rPr>
        <w:t xml:space="preserve">SE </w:t>
      </w:r>
      <w:r w:rsidR="009B7B74">
        <w:rPr>
          <w:iCs/>
        </w:rPr>
        <w:t xml:space="preserve">= .42, </w:t>
      </w:r>
      <w:r w:rsidR="009B7B74">
        <w:rPr>
          <w:i/>
          <w:iCs/>
        </w:rPr>
        <w:t xml:space="preserve">p </w:t>
      </w:r>
      <w:r w:rsidR="009B7B74">
        <w:rPr>
          <w:iCs/>
        </w:rPr>
        <w:t>&lt; .001).</w:t>
      </w:r>
    </w:p>
    <w:p w14:paraId="28736052" w14:textId="29F6224D" w:rsidR="00AD2427" w:rsidRDefault="00AD2427" w:rsidP="00AD2427">
      <w:pPr>
        <w:spacing w:line="480" w:lineRule="auto"/>
        <w:ind w:firstLine="720"/>
        <w:outlineLvl w:val="0"/>
        <w:rPr>
          <w:rFonts w:eastAsia="Times New Roman"/>
          <w:color w:val="000000" w:themeColor="text1"/>
        </w:rPr>
      </w:pPr>
      <w:r>
        <w:rPr>
          <w:iCs/>
        </w:rPr>
        <w:t xml:space="preserve">Third, the partner’s daily use of Avoidance interacted with conflict seriousness to predict </w:t>
      </w:r>
      <w:r w:rsidR="005D1B30">
        <w:rPr>
          <w:iCs/>
        </w:rPr>
        <w:t>d</w:t>
      </w:r>
      <w:r>
        <w:rPr>
          <w:iCs/>
        </w:rPr>
        <w:t xml:space="preserve">epressive </w:t>
      </w:r>
      <w:r w:rsidR="005D1B30">
        <w:rPr>
          <w:iCs/>
        </w:rPr>
        <w:t>s</w:t>
      </w:r>
      <w:r>
        <w:rPr>
          <w:iCs/>
        </w:rPr>
        <w:t>ymptoms (</w:t>
      </w:r>
      <w:r>
        <w:rPr>
          <w:i/>
          <w:iCs/>
        </w:rPr>
        <w:t xml:space="preserve">b </w:t>
      </w:r>
      <w:r>
        <w:rPr>
          <w:iCs/>
        </w:rPr>
        <w:t xml:space="preserve">= 1.68, </w:t>
      </w:r>
      <w:r>
        <w:rPr>
          <w:i/>
          <w:iCs/>
        </w:rPr>
        <w:t xml:space="preserve">SE </w:t>
      </w:r>
      <w:r>
        <w:rPr>
          <w:iCs/>
        </w:rPr>
        <w:t xml:space="preserve">= 0.50, </w:t>
      </w:r>
      <w:r>
        <w:rPr>
          <w:i/>
          <w:iCs/>
        </w:rPr>
        <w:t xml:space="preserve">p </w:t>
      </w:r>
      <w:r>
        <w:rPr>
          <w:iCs/>
        </w:rPr>
        <w:t>= .001</w:t>
      </w:r>
      <w:r w:rsidR="00AF6138">
        <w:rPr>
          <w:iCs/>
        </w:rPr>
        <w:t>; see Figure 15</w:t>
      </w:r>
      <w:r>
        <w:rPr>
          <w:iCs/>
        </w:rPr>
        <w:t>). When the conflict was not serious, actors reported similar levels of depressive symptoms, regardless of whether their partner Avoided them or not (</w:t>
      </w:r>
      <w:r>
        <w:rPr>
          <w:i/>
          <w:iCs/>
        </w:rPr>
        <w:t xml:space="preserve">b </w:t>
      </w:r>
      <w:r>
        <w:rPr>
          <w:iCs/>
        </w:rPr>
        <w:t xml:space="preserve">= 0.33, </w:t>
      </w:r>
      <w:r>
        <w:rPr>
          <w:i/>
          <w:iCs/>
        </w:rPr>
        <w:t xml:space="preserve">SE </w:t>
      </w:r>
      <w:r>
        <w:rPr>
          <w:iCs/>
        </w:rPr>
        <w:t xml:space="preserve">= 0.56, </w:t>
      </w:r>
      <w:r>
        <w:rPr>
          <w:i/>
          <w:iCs/>
        </w:rPr>
        <w:t xml:space="preserve">p </w:t>
      </w:r>
      <w:r>
        <w:rPr>
          <w:iCs/>
        </w:rPr>
        <w:t>= .563). However, when the conflict was serious, actors reported more depressive symptoms when their partners Avoided them than when their partners did not (</w:t>
      </w:r>
      <w:r>
        <w:rPr>
          <w:i/>
          <w:iCs/>
        </w:rPr>
        <w:t xml:space="preserve">b </w:t>
      </w:r>
      <w:r>
        <w:rPr>
          <w:iCs/>
        </w:rPr>
        <w:t xml:space="preserve">= 2.06, </w:t>
      </w:r>
      <w:r>
        <w:rPr>
          <w:i/>
          <w:iCs/>
        </w:rPr>
        <w:t xml:space="preserve">SE </w:t>
      </w:r>
      <w:r>
        <w:rPr>
          <w:iCs/>
        </w:rPr>
        <w:t xml:space="preserve">= 0.53, </w:t>
      </w:r>
      <w:r>
        <w:rPr>
          <w:i/>
          <w:iCs/>
        </w:rPr>
        <w:t xml:space="preserve">p </w:t>
      </w:r>
      <w:r>
        <w:rPr>
          <w:iCs/>
        </w:rPr>
        <w:t>&lt; .001)</w:t>
      </w:r>
      <w:r>
        <w:rPr>
          <w:rFonts w:eastAsia="Times New Roman"/>
          <w:color w:val="000000" w:themeColor="text1"/>
        </w:rPr>
        <w:t>.</w:t>
      </w:r>
    </w:p>
    <w:p w14:paraId="45C0C738" w14:textId="457B94E4" w:rsidR="00407AEE" w:rsidRDefault="00407AEE" w:rsidP="00407AEE">
      <w:pPr>
        <w:spacing w:line="480" w:lineRule="auto"/>
        <w:ind w:firstLine="720"/>
        <w:outlineLvl w:val="0"/>
        <w:rPr>
          <w:iCs/>
        </w:rPr>
      </w:pPr>
      <w:r>
        <w:rPr>
          <w:iCs/>
        </w:rPr>
        <w:t>Fourth</w:t>
      </w:r>
      <w:r w:rsidR="00C6093B">
        <w:rPr>
          <w:iCs/>
        </w:rPr>
        <w:t xml:space="preserve">, the partner’s use of </w:t>
      </w:r>
      <w:r w:rsidR="00AB70FE">
        <w:rPr>
          <w:rFonts w:eastAsia="Times New Roman"/>
          <w:color w:val="000000" w:themeColor="text1"/>
        </w:rPr>
        <w:t xml:space="preserve">Avoidance across the diary period interacted with conflict seriousness to predict Intimacy-UA </w:t>
      </w:r>
      <w:r w:rsidR="00AB70FE">
        <w:rPr>
          <w:iCs/>
        </w:rPr>
        <w:t>(</w:t>
      </w:r>
      <w:r w:rsidR="00AB70FE">
        <w:rPr>
          <w:i/>
          <w:iCs/>
        </w:rPr>
        <w:t xml:space="preserve">b </w:t>
      </w:r>
      <w:r w:rsidR="00AB70FE">
        <w:rPr>
          <w:iCs/>
        </w:rPr>
        <w:t xml:space="preserve">= 0.39, </w:t>
      </w:r>
      <w:r w:rsidR="00AB70FE">
        <w:rPr>
          <w:i/>
          <w:iCs/>
        </w:rPr>
        <w:t xml:space="preserve">SE </w:t>
      </w:r>
      <w:r w:rsidR="00AB70FE">
        <w:rPr>
          <w:iCs/>
        </w:rPr>
        <w:t xml:space="preserve">= 0.19, </w:t>
      </w:r>
      <w:r w:rsidR="00AB70FE">
        <w:rPr>
          <w:i/>
          <w:iCs/>
        </w:rPr>
        <w:t xml:space="preserve">p </w:t>
      </w:r>
      <w:r w:rsidR="00AB70FE">
        <w:rPr>
          <w:iCs/>
        </w:rPr>
        <w:t>= .042</w:t>
      </w:r>
      <w:r w:rsidR="00AF6138">
        <w:rPr>
          <w:iCs/>
        </w:rPr>
        <w:t>; see Figure 16</w:t>
      </w:r>
      <w:r w:rsidR="00AB70FE">
        <w:rPr>
          <w:iCs/>
        </w:rPr>
        <w:t>)</w:t>
      </w:r>
      <w:r w:rsidR="00AB70FE">
        <w:rPr>
          <w:rFonts w:eastAsia="Times New Roman"/>
          <w:color w:val="000000" w:themeColor="text1"/>
        </w:rPr>
        <w:t xml:space="preserve">. </w:t>
      </w:r>
      <w:r w:rsidR="00AF5874">
        <w:rPr>
          <w:rFonts w:eastAsia="Times New Roman"/>
          <w:color w:val="000000" w:themeColor="text1"/>
        </w:rPr>
        <w:t xml:space="preserve">Although neither slope was significant (Not Serious: </w:t>
      </w:r>
      <w:r w:rsidR="00AB70FE">
        <w:rPr>
          <w:i/>
          <w:iCs/>
        </w:rPr>
        <w:t xml:space="preserve">b </w:t>
      </w:r>
      <w:r w:rsidR="00AB70FE">
        <w:rPr>
          <w:iCs/>
        </w:rPr>
        <w:t xml:space="preserve">= -0.33, </w:t>
      </w:r>
      <w:r w:rsidR="00AB70FE">
        <w:rPr>
          <w:i/>
          <w:iCs/>
        </w:rPr>
        <w:t xml:space="preserve">SE </w:t>
      </w:r>
      <w:r w:rsidR="00AB70FE">
        <w:rPr>
          <w:iCs/>
        </w:rPr>
        <w:t xml:space="preserve">= 0.27, </w:t>
      </w:r>
      <w:r w:rsidR="00AB70FE">
        <w:rPr>
          <w:i/>
          <w:iCs/>
        </w:rPr>
        <w:t xml:space="preserve">p </w:t>
      </w:r>
      <w:r w:rsidR="00AB70FE">
        <w:rPr>
          <w:iCs/>
        </w:rPr>
        <w:t>= .226</w:t>
      </w:r>
      <w:r w:rsidR="00AF5874">
        <w:rPr>
          <w:iCs/>
        </w:rPr>
        <w:t xml:space="preserve">; Serious: </w:t>
      </w:r>
      <w:r w:rsidR="00AB70FE">
        <w:rPr>
          <w:i/>
          <w:iCs/>
        </w:rPr>
        <w:t xml:space="preserve">b </w:t>
      </w:r>
      <w:r w:rsidR="00AB70FE">
        <w:rPr>
          <w:iCs/>
        </w:rPr>
        <w:t xml:space="preserve">= 0.33, </w:t>
      </w:r>
      <w:r w:rsidR="00AB70FE">
        <w:rPr>
          <w:i/>
          <w:iCs/>
        </w:rPr>
        <w:t xml:space="preserve">SE </w:t>
      </w:r>
      <w:r w:rsidR="00AB70FE">
        <w:rPr>
          <w:iCs/>
        </w:rPr>
        <w:t xml:space="preserve">= .27, </w:t>
      </w:r>
      <w:r w:rsidR="00AB70FE">
        <w:rPr>
          <w:i/>
          <w:iCs/>
        </w:rPr>
        <w:t xml:space="preserve">p </w:t>
      </w:r>
      <w:r w:rsidR="00AB70FE">
        <w:rPr>
          <w:iCs/>
        </w:rPr>
        <w:t>= .236)</w:t>
      </w:r>
      <w:r w:rsidR="00AF5874">
        <w:rPr>
          <w:iCs/>
        </w:rPr>
        <w:t>, when the conflict was serious, actors reported less Intimacy-UA than when the conflict was not serious.</w:t>
      </w:r>
    </w:p>
    <w:p w14:paraId="6492ED6C" w14:textId="71641735" w:rsidR="00D93482" w:rsidRDefault="00407AEE" w:rsidP="00407AEE">
      <w:pPr>
        <w:spacing w:line="480" w:lineRule="auto"/>
        <w:ind w:firstLine="720"/>
        <w:outlineLvl w:val="0"/>
        <w:rPr>
          <w:iCs/>
        </w:rPr>
      </w:pPr>
      <w:r>
        <w:rPr>
          <w:rFonts w:eastAsia="Times New Roman"/>
          <w:color w:val="000000" w:themeColor="text1"/>
        </w:rPr>
        <w:t xml:space="preserve">Fifth and sixth, the partner’s use of Avoidance across the diary period interacted with conflict seriousness to predict </w:t>
      </w:r>
      <w:r w:rsidR="00D9396A">
        <w:rPr>
          <w:rFonts w:eastAsia="Times New Roman"/>
          <w:color w:val="000000" w:themeColor="text1"/>
        </w:rPr>
        <w:t xml:space="preserve">relationship satisfaction </w:t>
      </w:r>
      <w:r>
        <w:rPr>
          <w:iCs/>
        </w:rPr>
        <w:t>(</w:t>
      </w:r>
      <w:r>
        <w:rPr>
          <w:i/>
          <w:iCs/>
        </w:rPr>
        <w:t xml:space="preserve">b </w:t>
      </w:r>
      <w:r>
        <w:rPr>
          <w:iCs/>
        </w:rPr>
        <w:t xml:space="preserve">= 0.28, </w:t>
      </w:r>
      <w:r>
        <w:rPr>
          <w:i/>
          <w:iCs/>
        </w:rPr>
        <w:t xml:space="preserve">SE </w:t>
      </w:r>
      <w:r>
        <w:rPr>
          <w:iCs/>
        </w:rPr>
        <w:t xml:space="preserve">= 0.10, </w:t>
      </w:r>
      <w:r>
        <w:rPr>
          <w:i/>
          <w:iCs/>
        </w:rPr>
        <w:t xml:space="preserve">p </w:t>
      </w:r>
      <w:r>
        <w:rPr>
          <w:iCs/>
        </w:rPr>
        <w:t>= .006</w:t>
      </w:r>
      <w:r w:rsidR="00AF6138">
        <w:rPr>
          <w:iCs/>
        </w:rPr>
        <w:t>; see Figure 17</w:t>
      </w:r>
      <w:r>
        <w:rPr>
          <w:iCs/>
        </w:rPr>
        <w:t xml:space="preserve">) and </w:t>
      </w:r>
      <w:r w:rsidR="00D9396A">
        <w:rPr>
          <w:iCs/>
        </w:rPr>
        <w:t xml:space="preserve">depressive symptoms </w:t>
      </w:r>
      <w:r>
        <w:rPr>
          <w:iCs/>
        </w:rPr>
        <w:t>(</w:t>
      </w:r>
      <w:r>
        <w:rPr>
          <w:i/>
          <w:iCs/>
        </w:rPr>
        <w:t xml:space="preserve">b </w:t>
      </w:r>
      <w:r>
        <w:rPr>
          <w:iCs/>
        </w:rPr>
        <w:t xml:space="preserve">= -0.49, </w:t>
      </w:r>
      <w:r>
        <w:rPr>
          <w:i/>
          <w:iCs/>
        </w:rPr>
        <w:t xml:space="preserve">SE </w:t>
      </w:r>
      <w:r>
        <w:rPr>
          <w:iCs/>
        </w:rPr>
        <w:t xml:space="preserve">= 0.12, </w:t>
      </w:r>
      <w:r>
        <w:rPr>
          <w:i/>
          <w:iCs/>
        </w:rPr>
        <w:t xml:space="preserve">p </w:t>
      </w:r>
      <w:r>
        <w:rPr>
          <w:iCs/>
        </w:rPr>
        <w:t>&lt; .001</w:t>
      </w:r>
      <w:r w:rsidR="00AF6138">
        <w:rPr>
          <w:iCs/>
        </w:rPr>
        <w:t>; see Figure 18</w:t>
      </w:r>
      <w:r>
        <w:rPr>
          <w:iCs/>
        </w:rPr>
        <w:t>)</w:t>
      </w:r>
      <w:r>
        <w:rPr>
          <w:rFonts w:eastAsia="Times New Roman"/>
          <w:color w:val="000000" w:themeColor="text1"/>
        </w:rPr>
        <w:t xml:space="preserve">. When the conflict </w:t>
      </w:r>
      <w:r>
        <w:rPr>
          <w:rFonts w:eastAsia="Times New Roman"/>
          <w:color w:val="000000" w:themeColor="text1"/>
        </w:rPr>
        <w:lastRenderedPageBreak/>
        <w:t xml:space="preserve">was not serious, actors reported similar levels of satisfaction and depressive symptoms regardless of how often the partner Avoided the actor </w:t>
      </w:r>
      <w:r>
        <w:rPr>
          <w:iCs/>
        </w:rPr>
        <w:t>(</w:t>
      </w:r>
      <w:r>
        <w:rPr>
          <w:i/>
          <w:iCs/>
        </w:rPr>
        <w:t xml:space="preserve">b </w:t>
      </w:r>
      <w:r>
        <w:rPr>
          <w:iCs/>
        </w:rPr>
        <w:t xml:space="preserve">= -0.11, </w:t>
      </w:r>
      <w:r>
        <w:rPr>
          <w:i/>
          <w:iCs/>
        </w:rPr>
        <w:t xml:space="preserve">SE </w:t>
      </w:r>
      <w:r>
        <w:rPr>
          <w:iCs/>
        </w:rPr>
        <w:t xml:space="preserve">= 0.16, </w:t>
      </w:r>
      <w:r>
        <w:rPr>
          <w:i/>
          <w:iCs/>
        </w:rPr>
        <w:t xml:space="preserve">p </w:t>
      </w:r>
      <w:r>
        <w:rPr>
          <w:iCs/>
        </w:rPr>
        <w:t xml:space="preserve">= .486; </w:t>
      </w:r>
      <w:r>
        <w:rPr>
          <w:i/>
          <w:iCs/>
        </w:rPr>
        <w:t xml:space="preserve">b </w:t>
      </w:r>
      <w:r>
        <w:rPr>
          <w:iCs/>
        </w:rPr>
        <w:t xml:space="preserve">= 0.22, </w:t>
      </w:r>
      <w:r>
        <w:rPr>
          <w:i/>
          <w:iCs/>
        </w:rPr>
        <w:t xml:space="preserve">SE </w:t>
      </w:r>
      <w:r>
        <w:rPr>
          <w:iCs/>
        </w:rPr>
        <w:t xml:space="preserve">= 0.19, </w:t>
      </w:r>
      <w:r>
        <w:rPr>
          <w:i/>
          <w:iCs/>
        </w:rPr>
        <w:t xml:space="preserve">p </w:t>
      </w:r>
      <w:r>
        <w:rPr>
          <w:iCs/>
        </w:rPr>
        <w:t>= .263, respectively)</w:t>
      </w:r>
      <w:r>
        <w:rPr>
          <w:rFonts w:eastAsia="Times New Roman"/>
          <w:color w:val="000000" w:themeColor="text1"/>
        </w:rPr>
        <w:t xml:space="preserve">. However, when the conflict was serious, actors reported more relationship satisfaction and fewer depressive symptoms if their partners Avoided them more often </w:t>
      </w:r>
      <w:r>
        <w:rPr>
          <w:iCs/>
        </w:rPr>
        <w:t>(</w:t>
      </w:r>
      <w:r>
        <w:rPr>
          <w:i/>
          <w:iCs/>
        </w:rPr>
        <w:t xml:space="preserve">b </w:t>
      </w:r>
      <w:r>
        <w:rPr>
          <w:iCs/>
        </w:rPr>
        <w:t xml:space="preserve">= 0.35, </w:t>
      </w:r>
      <w:r>
        <w:rPr>
          <w:i/>
          <w:iCs/>
        </w:rPr>
        <w:t xml:space="preserve">SE </w:t>
      </w:r>
      <w:r>
        <w:rPr>
          <w:iCs/>
        </w:rPr>
        <w:t xml:space="preserve">= .16, </w:t>
      </w:r>
      <w:r>
        <w:rPr>
          <w:i/>
          <w:iCs/>
        </w:rPr>
        <w:t xml:space="preserve">p </w:t>
      </w:r>
      <w:r>
        <w:rPr>
          <w:iCs/>
        </w:rPr>
        <w:t xml:space="preserve">= .026; </w:t>
      </w:r>
      <w:r w:rsidR="00D93482">
        <w:rPr>
          <w:i/>
          <w:iCs/>
        </w:rPr>
        <w:t xml:space="preserve">b </w:t>
      </w:r>
      <w:r w:rsidR="00D93482">
        <w:rPr>
          <w:iCs/>
        </w:rPr>
        <w:t xml:space="preserve">= -0.60, </w:t>
      </w:r>
      <w:r w:rsidR="00D93482">
        <w:rPr>
          <w:i/>
          <w:iCs/>
        </w:rPr>
        <w:t xml:space="preserve">SE </w:t>
      </w:r>
      <w:r w:rsidR="00D93482">
        <w:rPr>
          <w:iCs/>
        </w:rPr>
        <w:t xml:space="preserve">= 0.19, </w:t>
      </w:r>
      <w:r w:rsidR="00D93482">
        <w:rPr>
          <w:i/>
          <w:iCs/>
        </w:rPr>
        <w:t xml:space="preserve">p </w:t>
      </w:r>
      <w:r w:rsidR="00D93482">
        <w:rPr>
          <w:iCs/>
        </w:rPr>
        <w:t>= .002</w:t>
      </w:r>
      <w:r>
        <w:rPr>
          <w:iCs/>
        </w:rPr>
        <w:t xml:space="preserve">, </w:t>
      </w:r>
      <w:r w:rsidR="006C1D37">
        <w:rPr>
          <w:iCs/>
        </w:rPr>
        <w:t>respectively</w:t>
      </w:r>
      <w:r w:rsidR="00D93482">
        <w:rPr>
          <w:iCs/>
        </w:rPr>
        <w:t>).</w:t>
      </w:r>
    </w:p>
    <w:p w14:paraId="5A243EBB" w14:textId="194B43C8" w:rsidR="006C1D37" w:rsidRDefault="003E7483" w:rsidP="006C1D37">
      <w:pPr>
        <w:spacing w:line="480" w:lineRule="auto"/>
        <w:ind w:firstLine="720"/>
        <w:outlineLvl w:val="0"/>
        <w:rPr>
          <w:iCs/>
        </w:rPr>
      </w:pPr>
      <w:r>
        <w:rPr>
          <w:iCs/>
        </w:rPr>
        <w:t>Seventh,</w:t>
      </w:r>
      <w:r w:rsidR="006C1D37">
        <w:rPr>
          <w:iCs/>
        </w:rPr>
        <w:t xml:space="preserve"> the actor’s daily use of Active Repair interacted with conflict seriousness to predict Positive Affect (</w:t>
      </w:r>
      <w:r w:rsidR="006C1D37">
        <w:rPr>
          <w:i/>
          <w:iCs/>
        </w:rPr>
        <w:t xml:space="preserve">b </w:t>
      </w:r>
      <w:r w:rsidR="006C1D37">
        <w:rPr>
          <w:iCs/>
        </w:rPr>
        <w:t xml:space="preserve">= 4.30, </w:t>
      </w:r>
      <w:r w:rsidR="006C1D37">
        <w:rPr>
          <w:i/>
          <w:iCs/>
        </w:rPr>
        <w:t xml:space="preserve">SE </w:t>
      </w:r>
      <w:r w:rsidR="006C1D37">
        <w:rPr>
          <w:iCs/>
        </w:rPr>
        <w:t xml:space="preserve">= 1.51, </w:t>
      </w:r>
      <w:r w:rsidR="006C1D37">
        <w:rPr>
          <w:i/>
          <w:iCs/>
        </w:rPr>
        <w:t xml:space="preserve">p </w:t>
      </w:r>
      <w:r w:rsidR="006C1D37">
        <w:rPr>
          <w:iCs/>
        </w:rPr>
        <w:t>= .005</w:t>
      </w:r>
      <w:r w:rsidR="00AF6138">
        <w:rPr>
          <w:iCs/>
        </w:rPr>
        <w:t>; see Figure 19</w:t>
      </w:r>
      <w:r w:rsidR="006C1D37">
        <w:rPr>
          <w:iCs/>
        </w:rPr>
        <w:t>). When the conflict was not serious, actors reported similar levels of positive affect, regardless of whether they Active</w:t>
      </w:r>
      <w:r w:rsidR="00C806E8">
        <w:rPr>
          <w:iCs/>
        </w:rPr>
        <w:t>ly</w:t>
      </w:r>
      <w:r w:rsidR="006C1D37">
        <w:rPr>
          <w:iCs/>
        </w:rPr>
        <w:t xml:space="preserve"> Repair</w:t>
      </w:r>
      <w:r w:rsidR="00C806E8">
        <w:rPr>
          <w:iCs/>
        </w:rPr>
        <w:t>ed</w:t>
      </w:r>
      <w:r w:rsidR="006C1D37">
        <w:rPr>
          <w:iCs/>
        </w:rPr>
        <w:t xml:space="preserve"> or not (</w:t>
      </w:r>
      <w:r w:rsidR="006C1D37">
        <w:rPr>
          <w:i/>
          <w:iCs/>
        </w:rPr>
        <w:t xml:space="preserve">b </w:t>
      </w:r>
      <w:r w:rsidR="006C1D37">
        <w:rPr>
          <w:iCs/>
        </w:rPr>
        <w:t xml:space="preserve">= -0.55, </w:t>
      </w:r>
      <w:r w:rsidR="006C1D37">
        <w:rPr>
          <w:i/>
          <w:iCs/>
        </w:rPr>
        <w:t xml:space="preserve">SE </w:t>
      </w:r>
      <w:r w:rsidR="006C1D37">
        <w:rPr>
          <w:iCs/>
        </w:rPr>
        <w:t xml:space="preserve">= 1.64, </w:t>
      </w:r>
      <w:r w:rsidR="006C1D37">
        <w:rPr>
          <w:i/>
          <w:iCs/>
        </w:rPr>
        <w:t xml:space="preserve">p </w:t>
      </w:r>
      <w:r w:rsidR="006C1D37">
        <w:rPr>
          <w:iCs/>
        </w:rPr>
        <w:t>= .739). However, when the conflict was serious, actors reported more positive affect when they Active</w:t>
      </w:r>
      <w:r w:rsidR="00C806E8">
        <w:rPr>
          <w:iCs/>
        </w:rPr>
        <w:t>ly</w:t>
      </w:r>
      <w:r w:rsidR="006C1D37">
        <w:rPr>
          <w:iCs/>
        </w:rPr>
        <w:t xml:space="preserve"> Repair</w:t>
      </w:r>
      <w:r w:rsidR="00C806E8">
        <w:rPr>
          <w:iCs/>
        </w:rPr>
        <w:t>ed</w:t>
      </w:r>
      <w:r w:rsidR="006C1D37">
        <w:rPr>
          <w:iCs/>
        </w:rPr>
        <w:t xml:space="preserve"> than when they did not (</w:t>
      </w:r>
      <w:r w:rsidR="006C1D37">
        <w:rPr>
          <w:i/>
          <w:iCs/>
        </w:rPr>
        <w:t xml:space="preserve">b </w:t>
      </w:r>
      <w:r w:rsidR="006C1D37">
        <w:rPr>
          <w:iCs/>
        </w:rPr>
        <w:t xml:space="preserve">= 6.60, </w:t>
      </w:r>
      <w:r w:rsidR="006C1D37">
        <w:rPr>
          <w:i/>
          <w:iCs/>
        </w:rPr>
        <w:t xml:space="preserve">SE </w:t>
      </w:r>
      <w:r w:rsidR="006C1D37">
        <w:rPr>
          <w:iCs/>
        </w:rPr>
        <w:t xml:space="preserve">= 1.73, </w:t>
      </w:r>
      <w:r w:rsidR="006C1D37">
        <w:rPr>
          <w:i/>
          <w:iCs/>
        </w:rPr>
        <w:t xml:space="preserve">p </w:t>
      </w:r>
      <w:r w:rsidR="006C1D37">
        <w:rPr>
          <w:iCs/>
        </w:rPr>
        <w:t>&lt; .001).</w:t>
      </w:r>
    </w:p>
    <w:p w14:paraId="4B2A5AB0" w14:textId="385B6484" w:rsidR="006C1D37" w:rsidRDefault="006C1D37" w:rsidP="006C1D37">
      <w:pPr>
        <w:spacing w:line="480" w:lineRule="auto"/>
        <w:ind w:firstLine="720"/>
        <w:outlineLvl w:val="0"/>
        <w:rPr>
          <w:iCs/>
        </w:rPr>
      </w:pPr>
      <w:r>
        <w:rPr>
          <w:iCs/>
        </w:rPr>
        <w:t xml:space="preserve">Eighth, the partner’s daily use of Active Repair interacted with conflict seriousness to predict </w:t>
      </w:r>
      <w:r w:rsidR="00281CBF">
        <w:rPr>
          <w:iCs/>
        </w:rPr>
        <w:t xml:space="preserve">relationship satisfaction </w:t>
      </w:r>
      <w:r>
        <w:rPr>
          <w:iCs/>
        </w:rPr>
        <w:t>(</w:t>
      </w:r>
      <w:r>
        <w:rPr>
          <w:i/>
          <w:iCs/>
        </w:rPr>
        <w:t xml:space="preserve">b </w:t>
      </w:r>
      <w:r>
        <w:rPr>
          <w:iCs/>
        </w:rPr>
        <w:t xml:space="preserve">= 1.14, </w:t>
      </w:r>
      <w:r>
        <w:rPr>
          <w:i/>
          <w:iCs/>
        </w:rPr>
        <w:t xml:space="preserve">SE </w:t>
      </w:r>
      <w:r>
        <w:rPr>
          <w:iCs/>
        </w:rPr>
        <w:t xml:space="preserve">= 0.57, </w:t>
      </w:r>
      <w:r>
        <w:rPr>
          <w:i/>
          <w:iCs/>
        </w:rPr>
        <w:t xml:space="preserve">p </w:t>
      </w:r>
      <w:r>
        <w:rPr>
          <w:iCs/>
        </w:rPr>
        <w:t>= .046</w:t>
      </w:r>
      <w:r w:rsidR="00D15DAC">
        <w:rPr>
          <w:iCs/>
        </w:rPr>
        <w:t>; see Figure 20</w:t>
      </w:r>
      <w:r>
        <w:rPr>
          <w:iCs/>
        </w:rPr>
        <w:t>). When the conflict was not serious, actors reported similar levels of relationship satisfaction, regardless of whether their partners Active</w:t>
      </w:r>
      <w:r w:rsidR="00281CBF">
        <w:rPr>
          <w:iCs/>
        </w:rPr>
        <w:t>ly</w:t>
      </w:r>
      <w:r>
        <w:rPr>
          <w:iCs/>
        </w:rPr>
        <w:t xml:space="preserve"> Repair</w:t>
      </w:r>
      <w:r w:rsidR="00281CBF">
        <w:rPr>
          <w:iCs/>
        </w:rPr>
        <w:t>ed</w:t>
      </w:r>
      <w:r>
        <w:rPr>
          <w:iCs/>
        </w:rPr>
        <w:t xml:space="preserve"> or not (</w:t>
      </w:r>
      <w:r>
        <w:rPr>
          <w:i/>
          <w:iCs/>
        </w:rPr>
        <w:t xml:space="preserve">b </w:t>
      </w:r>
      <w:r>
        <w:rPr>
          <w:iCs/>
        </w:rPr>
        <w:t xml:space="preserve">= -0.19, </w:t>
      </w:r>
      <w:r>
        <w:rPr>
          <w:i/>
          <w:iCs/>
        </w:rPr>
        <w:t xml:space="preserve">SE </w:t>
      </w:r>
      <w:r>
        <w:rPr>
          <w:iCs/>
        </w:rPr>
        <w:t xml:space="preserve">= 0.60, </w:t>
      </w:r>
      <w:r>
        <w:rPr>
          <w:i/>
          <w:iCs/>
        </w:rPr>
        <w:t xml:space="preserve">p </w:t>
      </w:r>
      <w:r>
        <w:rPr>
          <w:iCs/>
        </w:rPr>
        <w:t>= .750)</w:t>
      </w:r>
      <w:r>
        <w:rPr>
          <w:rFonts w:eastAsia="Times New Roman"/>
          <w:color w:val="000000" w:themeColor="text1"/>
        </w:rPr>
        <w:t>. However, when the conflict was serious, actors reported more relationship satisfaction when their partners Active</w:t>
      </w:r>
      <w:r w:rsidR="00D12CF3">
        <w:rPr>
          <w:rFonts w:eastAsia="Times New Roman"/>
          <w:color w:val="000000" w:themeColor="text1"/>
        </w:rPr>
        <w:t>ly</w:t>
      </w:r>
      <w:r>
        <w:rPr>
          <w:rFonts w:eastAsia="Times New Roman"/>
          <w:color w:val="000000" w:themeColor="text1"/>
        </w:rPr>
        <w:t xml:space="preserve"> Repair</w:t>
      </w:r>
      <w:r w:rsidR="00D12CF3">
        <w:rPr>
          <w:rFonts w:eastAsia="Times New Roman"/>
          <w:color w:val="000000" w:themeColor="text1"/>
        </w:rPr>
        <w:t>ed</w:t>
      </w:r>
      <w:r>
        <w:rPr>
          <w:rFonts w:eastAsia="Times New Roman"/>
          <w:color w:val="000000" w:themeColor="text1"/>
        </w:rPr>
        <w:t xml:space="preserve"> than when their partners did not </w:t>
      </w:r>
      <w:r>
        <w:rPr>
          <w:iCs/>
        </w:rPr>
        <w:t>(</w:t>
      </w:r>
      <w:r>
        <w:rPr>
          <w:i/>
          <w:iCs/>
        </w:rPr>
        <w:t xml:space="preserve">b </w:t>
      </w:r>
      <w:r>
        <w:rPr>
          <w:iCs/>
        </w:rPr>
        <w:t xml:space="preserve">= 1.70, </w:t>
      </w:r>
      <w:r>
        <w:rPr>
          <w:i/>
          <w:iCs/>
        </w:rPr>
        <w:t xml:space="preserve">SE </w:t>
      </w:r>
      <w:r>
        <w:rPr>
          <w:iCs/>
        </w:rPr>
        <w:t xml:space="preserve">= 0.65, </w:t>
      </w:r>
      <w:r>
        <w:rPr>
          <w:i/>
          <w:iCs/>
        </w:rPr>
        <w:t xml:space="preserve">p </w:t>
      </w:r>
      <w:r>
        <w:rPr>
          <w:iCs/>
        </w:rPr>
        <w:t>= .009).</w:t>
      </w:r>
    </w:p>
    <w:p w14:paraId="345AEC67" w14:textId="252BF199" w:rsidR="006C1D37" w:rsidRPr="00B36986" w:rsidRDefault="006C1D37" w:rsidP="006C1D37">
      <w:pPr>
        <w:spacing w:line="480" w:lineRule="auto"/>
        <w:ind w:firstLine="720"/>
        <w:outlineLvl w:val="0"/>
        <w:rPr>
          <w:rFonts w:eastAsia="Times New Roman"/>
          <w:color w:val="000000" w:themeColor="text1"/>
        </w:rPr>
      </w:pPr>
      <w:r>
        <w:rPr>
          <w:iCs/>
        </w:rPr>
        <w:t xml:space="preserve">Ninth, the partner’s use of Active Repair across the diary </w:t>
      </w:r>
      <w:r w:rsidR="005D5EA0">
        <w:rPr>
          <w:iCs/>
        </w:rPr>
        <w:t xml:space="preserve">appeared to interact </w:t>
      </w:r>
      <w:r>
        <w:rPr>
          <w:iCs/>
        </w:rPr>
        <w:t xml:space="preserve">with conflict seriousness to predict </w:t>
      </w:r>
      <w:r w:rsidR="005D5EA0">
        <w:rPr>
          <w:iCs/>
        </w:rPr>
        <w:t>positive affe</w:t>
      </w:r>
      <w:r>
        <w:rPr>
          <w:iCs/>
        </w:rPr>
        <w:t>ct (</w:t>
      </w:r>
      <w:r>
        <w:rPr>
          <w:i/>
          <w:iCs/>
        </w:rPr>
        <w:t xml:space="preserve">b </w:t>
      </w:r>
      <w:r>
        <w:rPr>
          <w:iCs/>
        </w:rPr>
        <w:t xml:space="preserve">= 1.24, </w:t>
      </w:r>
      <w:r>
        <w:rPr>
          <w:i/>
          <w:iCs/>
        </w:rPr>
        <w:t xml:space="preserve">SE </w:t>
      </w:r>
      <w:r>
        <w:rPr>
          <w:iCs/>
        </w:rPr>
        <w:t xml:space="preserve">= 0.55, </w:t>
      </w:r>
      <w:r>
        <w:rPr>
          <w:i/>
          <w:iCs/>
        </w:rPr>
        <w:t xml:space="preserve">p </w:t>
      </w:r>
      <w:r>
        <w:rPr>
          <w:iCs/>
        </w:rPr>
        <w:t>= .025</w:t>
      </w:r>
      <w:r w:rsidR="00DB6325">
        <w:rPr>
          <w:iCs/>
        </w:rPr>
        <w:t>; see Figure 21</w:t>
      </w:r>
      <w:r>
        <w:rPr>
          <w:iCs/>
        </w:rPr>
        <w:t xml:space="preserve">). </w:t>
      </w:r>
      <w:r w:rsidR="00E76B25">
        <w:rPr>
          <w:iCs/>
        </w:rPr>
        <w:t>However, upon exploring the interaction, we found that neither slope was significant (Not Serious:</w:t>
      </w:r>
      <w:r>
        <w:rPr>
          <w:iCs/>
        </w:rPr>
        <w:t xml:space="preserve"> </w:t>
      </w:r>
      <w:r>
        <w:rPr>
          <w:i/>
          <w:iCs/>
        </w:rPr>
        <w:t xml:space="preserve">b </w:t>
      </w:r>
      <w:r>
        <w:rPr>
          <w:iCs/>
        </w:rPr>
        <w:t xml:space="preserve">= -0.97, </w:t>
      </w:r>
      <w:r>
        <w:rPr>
          <w:i/>
          <w:iCs/>
        </w:rPr>
        <w:t xml:space="preserve">SE </w:t>
      </w:r>
      <w:r>
        <w:rPr>
          <w:iCs/>
        </w:rPr>
        <w:t xml:space="preserve">= 0.72, </w:t>
      </w:r>
      <w:r>
        <w:rPr>
          <w:i/>
          <w:iCs/>
        </w:rPr>
        <w:t xml:space="preserve">p </w:t>
      </w:r>
      <w:r w:rsidR="00E76B25">
        <w:rPr>
          <w:iCs/>
        </w:rPr>
        <w:t xml:space="preserve">= .183; Serious </w:t>
      </w:r>
      <w:r>
        <w:rPr>
          <w:i/>
          <w:iCs/>
        </w:rPr>
        <w:t xml:space="preserve">b </w:t>
      </w:r>
      <w:r>
        <w:rPr>
          <w:iCs/>
        </w:rPr>
        <w:t xml:space="preserve">= 1.09, </w:t>
      </w:r>
      <w:r>
        <w:rPr>
          <w:i/>
          <w:iCs/>
        </w:rPr>
        <w:t xml:space="preserve">SE </w:t>
      </w:r>
      <w:r>
        <w:rPr>
          <w:iCs/>
        </w:rPr>
        <w:t xml:space="preserve">= 0.70, </w:t>
      </w:r>
      <w:r>
        <w:rPr>
          <w:i/>
          <w:iCs/>
        </w:rPr>
        <w:t xml:space="preserve">p </w:t>
      </w:r>
      <w:r>
        <w:rPr>
          <w:iCs/>
        </w:rPr>
        <w:t>= .124)</w:t>
      </w:r>
      <w:r w:rsidR="00E76B25">
        <w:rPr>
          <w:iCs/>
        </w:rPr>
        <w:t>.</w:t>
      </w:r>
    </w:p>
    <w:p w14:paraId="3FD5EEB9" w14:textId="15DD0774" w:rsidR="00E76B25" w:rsidRDefault="00E76B25" w:rsidP="00E76B25">
      <w:pPr>
        <w:spacing w:line="480" w:lineRule="auto"/>
        <w:ind w:firstLine="720"/>
        <w:outlineLvl w:val="0"/>
        <w:rPr>
          <w:iCs/>
        </w:rPr>
      </w:pPr>
      <w:r>
        <w:rPr>
          <w:rFonts w:eastAsia="Times New Roman"/>
          <w:color w:val="000000" w:themeColor="text1"/>
        </w:rPr>
        <w:t xml:space="preserve">Tenth, the partner’s use of Active Repair across the diary interacted with conflict seriousness to predict </w:t>
      </w:r>
      <w:r w:rsidR="005F4E19">
        <w:rPr>
          <w:rFonts w:eastAsia="Times New Roman"/>
          <w:color w:val="000000" w:themeColor="text1"/>
        </w:rPr>
        <w:t xml:space="preserve">relationship satisfaction </w:t>
      </w:r>
      <w:r>
        <w:rPr>
          <w:iCs/>
        </w:rPr>
        <w:t>(</w:t>
      </w:r>
      <w:r>
        <w:rPr>
          <w:i/>
          <w:iCs/>
        </w:rPr>
        <w:t xml:space="preserve">b </w:t>
      </w:r>
      <w:r>
        <w:rPr>
          <w:iCs/>
        </w:rPr>
        <w:t xml:space="preserve">= 1.14, </w:t>
      </w:r>
      <w:r>
        <w:rPr>
          <w:i/>
          <w:iCs/>
        </w:rPr>
        <w:t xml:space="preserve">SE </w:t>
      </w:r>
      <w:r>
        <w:rPr>
          <w:iCs/>
        </w:rPr>
        <w:t xml:space="preserve">= 0.57, </w:t>
      </w:r>
      <w:r>
        <w:rPr>
          <w:i/>
          <w:iCs/>
        </w:rPr>
        <w:t xml:space="preserve">p </w:t>
      </w:r>
      <w:r>
        <w:rPr>
          <w:iCs/>
        </w:rPr>
        <w:t>= .046</w:t>
      </w:r>
      <w:r w:rsidR="00EB3B75">
        <w:rPr>
          <w:iCs/>
        </w:rPr>
        <w:t>; see Figure 22</w:t>
      </w:r>
      <w:r>
        <w:rPr>
          <w:iCs/>
        </w:rPr>
        <w:t xml:space="preserve">). </w:t>
      </w:r>
      <w:r>
        <w:rPr>
          <w:iCs/>
        </w:rPr>
        <w:lastRenderedPageBreak/>
        <w:t>When the conflict was not serious, actors reported similar levels of relationship satisfaction, regardless of how often their partner used Active Repair strategies across the diary period (</w:t>
      </w:r>
      <w:r>
        <w:rPr>
          <w:i/>
          <w:iCs/>
        </w:rPr>
        <w:t xml:space="preserve">b </w:t>
      </w:r>
      <w:r>
        <w:rPr>
          <w:iCs/>
        </w:rPr>
        <w:t xml:space="preserve">= -0.03, </w:t>
      </w:r>
      <w:r>
        <w:rPr>
          <w:i/>
          <w:iCs/>
        </w:rPr>
        <w:t xml:space="preserve">SE </w:t>
      </w:r>
      <w:r>
        <w:rPr>
          <w:iCs/>
        </w:rPr>
        <w:t xml:space="preserve">= .28, </w:t>
      </w:r>
      <w:r>
        <w:rPr>
          <w:i/>
          <w:iCs/>
        </w:rPr>
        <w:t xml:space="preserve">p </w:t>
      </w:r>
      <w:r>
        <w:rPr>
          <w:iCs/>
        </w:rPr>
        <w:t>= .902). However, when the conflict was serious, actors reported less relationship satisfaction if their partner used Active Repair strategies more often (</w:t>
      </w:r>
      <w:r>
        <w:rPr>
          <w:i/>
          <w:iCs/>
        </w:rPr>
        <w:t xml:space="preserve">b </w:t>
      </w:r>
      <w:r>
        <w:rPr>
          <w:iCs/>
        </w:rPr>
        <w:t xml:space="preserve">= -0.75, </w:t>
      </w:r>
      <w:r>
        <w:rPr>
          <w:i/>
          <w:iCs/>
        </w:rPr>
        <w:t xml:space="preserve">SE </w:t>
      </w:r>
      <w:r>
        <w:rPr>
          <w:iCs/>
        </w:rPr>
        <w:t xml:space="preserve">= 0.25, </w:t>
      </w:r>
      <w:r>
        <w:rPr>
          <w:i/>
          <w:iCs/>
        </w:rPr>
        <w:t xml:space="preserve">p </w:t>
      </w:r>
      <w:r>
        <w:rPr>
          <w:iCs/>
        </w:rPr>
        <w:t>= .004)</w:t>
      </w:r>
      <w:r w:rsidR="000F0723">
        <w:rPr>
          <w:iCs/>
        </w:rPr>
        <w:t>.</w:t>
      </w:r>
    </w:p>
    <w:p w14:paraId="5F316C7D" w14:textId="003DE1C3" w:rsidR="00E416BE" w:rsidRDefault="000F0723" w:rsidP="00E416BE">
      <w:pPr>
        <w:spacing w:line="480" w:lineRule="auto"/>
        <w:ind w:firstLine="720"/>
        <w:outlineLvl w:val="0"/>
        <w:rPr>
          <w:iCs/>
        </w:rPr>
      </w:pPr>
      <w:r>
        <w:rPr>
          <w:iCs/>
        </w:rPr>
        <w:t xml:space="preserve">Eleventh, the partner’s daily use of Gain a New Perspective interacted with conflict seriousness </w:t>
      </w:r>
      <w:r w:rsidR="00E416BE">
        <w:rPr>
          <w:iCs/>
        </w:rPr>
        <w:t>to predict Depressive Symptoms (</w:t>
      </w:r>
      <w:r w:rsidR="00E416BE">
        <w:rPr>
          <w:i/>
          <w:iCs/>
        </w:rPr>
        <w:t xml:space="preserve">b </w:t>
      </w:r>
      <w:r w:rsidR="00E416BE">
        <w:rPr>
          <w:iCs/>
        </w:rPr>
        <w:t xml:space="preserve">= 1.09, </w:t>
      </w:r>
      <w:r w:rsidR="00E416BE">
        <w:rPr>
          <w:i/>
          <w:iCs/>
        </w:rPr>
        <w:t xml:space="preserve">SE </w:t>
      </w:r>
      <w:r w:rsidR="00E416BE">
        <w:rPr>
          <w:iCs/>
        </w:rPr>
        <w:t xml:space="preserve">= .52, </w:t>
      </w:r>
      <w:r w:rsidR="00E416BE">
        <w:rPr>
          <w:i/>
          <w:iCs/>
        </w:rPr>
        <w:t xml:space="preserve">p </w:t>
      </w:r>
      <w:r w:rsidR="00E416BE">
        <w:rPr>
          <w:iCs/>
        </w:rPr>
        <w:t>= .037</w:t>
      </w:r>
      <w:r w:rsidR="00EB3B75">
        <w:rPr>
          <w:iCs/>
        </w:rPr>
        <w:t>; see Figure 23</w:t>
      </w:r>
      <w:r w:rsidR="00E416BE">
        <w:rPr>
          <w:iCs/>
        </w:rPr>
        <w:t>). When the conflict was not serious, actors reported similar levels of depressive symptoms, regardless of whether their partner Gained a New Perspective or not (</w:t>
      </w:r>
      <w:r w:rsidR="00E416BE">
        <w:rPr>
          <w:i/>
          <w:iCs/>
        </w:rPr>
        <w:t xml:space="preserve">b </w:t>
      </w:r>
      <w:r w:rsidR="00E416BE">
        <w:rPr>
          <w:iCs/>
        </w:rPr>
        <w:t xml:space="preserve">= -0.82, </w:t>
      </w:r>
      <w:r w:rsidR="00E416BE">
        <w:rPr>
          <w:i/>
          <w:iCs/>
        </w:rPr>
        <w:t xml:space="preserve">SE </w:t>
      </w:r>
      <w:r w:rsidR="00E416BE">
        <w:rPr>
          <w:iCs/>
        </w:rPr>
        <w:t xml:space="preserve">= 0.54, </w:t>
      </w:r>
      <w:r w:rsidR="00E416BE">
        <w:rPr>
          <w:i/>
          <w:iCs/>
        </w:rPr>
        <w:t xml:space="preserve">p </w:t>
      </w:r>
      <w:r w:rsidR="00E416BE">
        <w:rPr>
          <w:iCs/>
        </w:rPr>
        <w:t>= .133). However, when the conflict was serious, actors reported marginally more depressive symptoms if their partner Gained a New Perspective than if their partner did not (</w:t>
      </w:r>
      <w:r w:rsidR="00E416BE">
        <w:rPr>
          <w:i/>
          <w:iCs/>
        </w:rPr>
        <w:t xml:space="preserve">b </w:t>
      </w:r>
      <w:r w:rsidR="00E416BE">
        <w:rPr>
          <w:iCs/>
        </w:rPr>
        <w:t xml:space="preserve">= 1.00, </w:t>
      </w:r>
      <w:r w:rsidR="00E416BE">
        <w:rPr>
          <w:i/>
          <w:iCs/>
        </w:rPr>
        <w:t xml:space="preserve">SE </w:t>
      </w:r>
      <w:r w:rsidR="00E416BE">
        <w:rPr>
          <w:iCs/>
        </w:rPr>
        <w:t xml:space="preserve">= 0.59, </w:t>
      </w:r>
      <w:r w:rsidR="00E416BE">
        <w:rPr>
          <w:i/>
          <w:iCs/>
        </w:rPr>
        <w:t xml:space="preserve">p </w:t>
      </w:r>
      <w:r w:rsidR="00E416BE">
        <w:rPr>
          <w:iCs/>
        </w:rPr>
        <w:t>= .090).</w:t>
      </w:r>
    </w:p>
    <w:p w14:paraId="1EA6FC05" w14:textId="21E045AA" w:rsidR="007F5B19" w:rsidRDefault="007F5B19" w:rsidP="007F5B19">
      <w:pPr>
        <w:spacing w:line="480" w:lineRule="auto"/>
        <w:ind w:firstLine="720"/>
        <w:outlineLvl w:val="0"/>
        <w:rPr>
          <w:iCs/>
        </w:rPr>
      </w:pPr>
      <w:r>
        <w:rPr>
          <w:iCs/>
        </w:rPr>
        <w:t>Twelfth, the partner’s use of Gain a New Perspective across the diary period interacted with conflict seriousness to predict Depressive Symptoms (</w:t>
      </w:r>
      <w:r>
        <w:rPr>
          <w:i/>
          <w:iCs/>
        </w:rPr>
        <w:t xml:space="preserve">b </w:t>
      </w:r>
      <w:r>
        <w:rPr>
          <w:iCs/>
        </w:rPr>
        <w:t xml:space="preserve">= -0.51, </w:t>
      </w:r>
      <w:r>
        <w:rPr>
          <w:i/>
          <w:iCs/>
        </w:rPr>
        <w:t xml:space="preserve">SE </w:t>
      </w:r>
      <w:r>
        <w:rPr>
          <w:iCs/>
        </w:rPr>
        <w:t xml:space="preserve">= 0.20, </w:t>
      </w:r>
      <w:r>
        <w:rPr>
          <w:i/>
          <w:iCs/>
        </w:rPr>
        <w:t xml:space="preserve">p </w:t>
      </w:r>
      <w:r>
        <w:rPr>
          <w:iCs/>
        </w:rPr>
        <w:t>= .010</w:t>
      </w:r>
      <w:r w:rsidR="00086A59">
        <w:rPr>
          <w:iCs/>
        </w:rPr>
        <w:t>; see Figure 24</w:t>
      </w:r>
      <w:r>
        <w:rPr>
          <w:iCs/>
        </w:rPr>
        <w:t>). When the conflict was not serious, actors reported similar levels of depressive symptoms, regardless of how often the partner Gained a New Perspective (</w:t>
      </w:r>
      <w:r>
        <w:rPr>
          <w:i/>
          <w:iCs/>
        </w:rPr>
        <w:t xml:space="preserve">b </w:t>
      </w:r>
      <w:r>
        <w:rPr>
          <w:iCs/>
        </w:rPr>
        <w:t xml:space="preserve">= 0.19, </w:t>
      </w:r>
      <w:r>
        <w:rPr>
          <w:i/>
          <w:iCs/>
        </w:rPr>
        <w:t xml:space="preserve">SE </w:t>
      </w:r>
      <w:r>
        <w:rPr>
          <w:iCs/>
        </w:rPr>
        <w:t xml:space="preserve">= 0.27, </w:t>
      </w:r>
      <w:r>
        <w:rPr>
          <w:i/>
          <w:iCs/>
        </w:rPr>
        <w:t xml:space="preserve">p </w:t>
      </w:r>
      <w:r>
        <w:rPr>
          <w:iCs/>
        </w:rPr>
        <w:t>= .492). However, when the conflict was serious, actors reported fewer depressive symptoms when their partner Gained a New Perspective than when they did not (</w:t>
      </w:r>
      <w:r>
        <w:rPr>
          <w:i/>
          <w:iCs/>
        </w:rPr>
        <w:t xml:space="preserve">b </w:t>
      </w:r>
      <w:r>
        <w:rPr>
          <w:iCs/>
        </w:rPr>
        <w:t xml:space="preserve">= -0.67, </w:t>
      </w:r>
      <w:r>
        <w:rPr>
          <w:i/>
          <w:iCs/>
        </w:rPr>
        <w:t xml:space="preserve">SE </w:t>
      </w:r>
      <w:r>
        <w:rPr>
          <w:iCs/>
        </w:rPr>
        <w:t xml:space="preserve">= 0.27, </w:t>
      </w:r>
      <w:r>
        <w:rPr>
          <w:i/>
          <w:iCs/>
        </w:rPr>
        <w:t xml:space="preserve">p </w:t>
      </w:r>
      <w:r>
        <w:rPr>
          <w:iCs/>
        </w:rPr>
        <w:t>= .014).</w:t>
      </w:r>
    </w:p>
    <w:p w14:paraId="5784A108" w14:textId="77777777" w:rsidR="00656DFE" w:rsidRDefault="0081040E" w:rsidP="007608BD">
      <w:pPr>
        <w:spacing w:line="480" w:lineRule="auto"/>
        <w:ind w:firstLine="720"/>
        <w:outlineLvl w:val="0"/>
        <w:rPr>
          <w:iCs/>
        </w:rPr>
      </w:pPr>
      <w:r>
        <w:rPr>
          <w:iCs/>
        </w:rPr>
        <w:t>Thirteenth, the partner’s use of Letting the Conflict Go across the diary period interacted with conflict seriousness to predict Relationship Satisfaction (</w:t>
      </w:r>
      <w:r>
        <w:rPr>
          <w:i/>
          <w:iCs/>
        </w:rPr>
        <w:t xml:space="preserve">b </w:t>
      </w:r>
      <w:r>
        <w:rPr>
          <w:iCs/>
        </w:rPr>
        <w:t xml:space="preserve">= 0.54, </w:t>
      </w:r>
      <w:r>
        <w:rPr>
          <w:i/>
          <w:iCs/>
        </w:rPr>
        <w:t xml:space="preserve">SE </w:t>
      </w:r>
      <w:r>
        <w:rPr>
          <w:iCs/>
        </w:rPr>
        <w:t xml:space="preserve">= 0.16, </w:t>
      </w:r>
      <w:r>
        <w:rPr>
          <w:i/>
          <w:iCs/>
        </w:rPr>
        <w:t xml:space="preserve">p </w:t>
      </w:r>
      <w:r>
        <w:rPr>
          <w:iCs/>
        </w:rPr>
        <w:t>= .001</w:t>
      </w:r>
      <w:r w:rsidR="00086A59">
        <w:rPr>
          <w:iCs/>
        </w:rPr>
        <w:t>; see Figure 25</w:t>
      </w:r>
      <w:r>
        <w:rPr>
          <w:iCs/>
        </w:rPr>
        <w:t>). When the conflict was not serious, actors reported similar levels of relationship satisfaction, regardless of how often the partner Let the Conflict Go (</w:t>
      </w:r>
      <w:r>
        <w:rPr>
          <w:i/>
          <w:iCs/>
        </w:rPr>
        <w:t xml:space="preserve">b </w:t>
      </w:r>
      <w:r>
        <w:rPr>
          <w:iCs/>
        </w:rPr>
        <w:t xml:space="preserve">= -0.13, </w:t>
      </w:r>
      <w:r>
        <w:rPr>
          <w:i/>
          <w:iCs/>
        </w:rPr>
        <w:t xml:space="preserve">SE </w:t>
      </w:r>
      <w:r>
        <w:rPr>
          <w:iCs/>
        </w:rPr>
        <w:t xml:space="preserve">= 0.23, </w:t>
      </w:r>
      <w:r>
        <w:rPr>
          <w:i/>
          <w:iCs/>
        </w:rPr>
        <w:t xml:space="preserve">p </w:t>
      </w:r>
      <w:r>
        <w:rPr>
          <w:iCs/>
        </w:rPr>
        <w:lastRenderedPageBreak/>
        <w:t>= .569). However, when the conflict was serious, actors reported more relationship satisfaction when the partner Let the Conflict Go more often than when the partner Let the Conflict Go less often (</w:t>
      </w:r>
      <w:r>
        <w:rPr>
          <w:i/>
          <w:iCs/>
        </w:rPr>
        <w:t xml:space="preserve">b </w:t>
      </w:r>
      <w:r>
        <w:rPr>
          <w:iCs/>
        </w:rPr>
        <w:t xml:space="preserve">= 0.77, </w:t>
      </w:r>
      <w:r>
        <w:rPr>
          <w:i/>
          <w:iCs/>
        </w:rPr>
        <w:t xml:space="preserve">SE </w:t>
      </w:r>
      <w:r>
        <w:rPr>
          <w:iCs/>
        </w:rPr>
        <w:t xml:space="preserve">= 0.23, </w:t>
      </w:r>
      <w:r>
        <w:rPr>
          <w:i/>
          <w:iCs/>
        </w:rPr>
        <w:t xml:space="preserve">p </w:t>
      </w:r>
      <w:r>
        <w:rPr>
          <w:iCs/>
        </w:rPr>
        <w:t>= .001)</w:t>
      </w:r>
      <w:r w:rsidR="00E152A7">
        <w:rPr>
          <w:iCs/>
        </w:rPr>
        <w:t>.</w:t>
      </w:r>
    </w:p>
    <w:p w14:paraId="7BF2EB5D" w14:textId="4EC3F540" w:rsidR="00CA448B" w:rsidRPr="00CA448B" w:rsidRDefault="00CA448B" w:rsidP="00CA448B">
      <w:pPr>
        <w:spacing w:line="480" w:lineRule="auto"/>
        <w:ind w:firstLine="720"/>
        <w:outlineLvl w:val="0"/>
        <w:rPr>
          <w:iCs/>
        </w:rPr>
      </w:pPr>
      <w:r>
        <w:rPr>
          <w:iCs/>
        </w:rPr>
        <w:t xml:space="preserve">In sum, conflict seriousness interacts with the PCBC dimensions to predict some indices of </w:t>
      </w:r>
      <w:r w:rsidR="00DF5A52">
        <w:rPr>
          <w:iCs/>
        </w:rPr>
        <w:t xml:space="preserve">actor’s </w:t>
      </w:r>
      <w:r>
        <w:rPr>
          <w:iCs/>
        </w:rPr>
        <w:t xml:space="preserve">recovery. </w:t>
      </w:r>
      <w:r w:rsidR="00B77ACD" w:rsidRPr="00CA448B">
        <w:rPr>
          <w:iCs/>
        </w:rPr>
        <w:t>On a conflict-by-conflict basis, a</w:t>
      </w:r>
      <w:r w:rsidR="00656DFE" w:rsidRPr="00CA448B">
        <w:rPr>
          <w:iCs/>
        </w:rPr>
        <w:t>voidance</w:t>
      </w:r>
      <w:r w:rsidR="00B77ACD" w:rsidRPr="00CA448B">
        <w:rPr>
          <w:iCs/>
        </w:rPr>
        <w:t xml:space="preserve"> (by actor or partner)</w:t>
      </w:r>
      <w:r w:rsidR="00656DFE" w:rsidRPr="00CA448B">
        <w:rPr>
          <w:iCs/>
        </w:rPr>
        <w:t xml:space="preserve"> is associated with poorer recovery, but only when the conflict is serious.</w:t>
      </w:r>
      <w:r>
        <w:rPr>
          <w:iCs/>
        </w:rPr>
        <w:t xml:space="preserve"> Across</w:t>
      </w:r>
      <w:r w:rsidR="00B77ACD" w:rsidRPr="00CA448B">
        <w:rPr>
          <w:iCs/>
        </w:rPr>
        <w:t xml:space="preserve"> the diary period, the partner’s use of avoidance in response to serious conflicts is associated with less Intimacy-UA, but more relationship satisfaction and less </w:t>
      </w:r>
      <w:r w:rsidR="00DF5A52">
        <w:rPr>
          <w:iCs/>
        </w:rPr>
        <w:t xml:space="preserve">severe </w:t>
      </w:r>
      <w:r w:rsidR="00B77ACD" w:rsidRPr="00CA448B">
        <w:rPr>
          <w:iCs/>
        </w:rPr>
        <w:t xml:space="preserve">depressive symptoms. On a conflict-by-conflict basis, not using active repair in the face of serious conflicts is associated with poorer </w:t>
      </w:r>
      <w:r w:rsidR="00DF5A52">
        <w:rPr>
          <w:iCs/>
        </w:rPr>
        <w:t xml:space="preserve">actor </w:t>
      </w:r>
      <w:r w:rsidR="00B77ACD" w:rsidRPr="00CA448B">
        <w:rPr>
          <w:iCs/>
        </w:rPr>
        <w:t xml:space="preserve">recovery. However, across the diary period, the partner’s use of active repair may be associated with poorer </w:t>
      </w:r>
      <w:r w:rsidR="00DF5A52">
        <w:rPr>
          <w:iCs/>
        </w:rPr>
        <w:t xml:space="preserve">actor </w:t>
      </w:r>
      <w:r w:rsidR="00B77ACD" w:rsidRPr="00CA448B">
        <w:rPr>
          <w:iCs/>
        </w:rPr>
        <w:t>recovery.</w:t>
      </w:r>
      <w:r>
        <w:rPr>
          <w:iCs/>
        </w:rPr>
        <w:t xml:space="preserve"> </w:t>
      </w:r>
      <w:r w:rsidRPr="00CA448B">
        <w:rPr>
          <w:iCs/>
        </w:rPr>
        <w:t>The partner’s use of gaining a new perspective may be associated with poorer recovery on a conflict-by-conflict basis, but better recovery if used often.</w:t>
      </w:r>
      <w:r>
        <w:rPr>
          <w:iCs/>
        </w:rPr>
        <w:t xml:space="preserve"> </w:t>
      </w:r>
      <w:r w:rsidRPr="00CA448B">
        <w:rPr>
          <w:iCs/>
        </w:rPr>
        <w:t xml:space="preserve">The partner’s consistent use of letting the conflict go seems to be associated with </w:t>
      </w:r>
      <w:r w:rsidR="00DF5A52">
        <w:rPr>
          <w:iCs/>
        </w:rPr>
        <w:t xml:space="preserve">actor’s </w:t>
      </w:r>
      <w:r w:rsidRPr="00CA448B">
        <w:rPr>
          <w:iCs/>
        </w:rPr>
        <w:t>better recovery in the face of serious conflicts.</w:t>
      </w:r>
      <w:r w:rsidR="004E3BA0">
        <w:rPr>
          <w:iCs/>
        </w:rPr>
        <w:t xml:space="preserve">  </w:t>
      </w:r>
    </w:p>
    <w:p w14:paraId="110A9B5C" w14:textId="062B6307" w:rsidR="00E152A7" w:rsidRPr="00656DFE" w:rsidRDefault="00E152A7" w:rsidP="00656DFE">
      <w:pPr>
        <w:pStyle w:val="ListParagraph"/>
        <w:numPr>
          <w:ilvl w:val="0"/>
          <w:numId w:val="3"/>
        </w:numPr>
        <w:spacing w:line="480" w:lineRule="auto"/>
        <w:ind w:left="1170" w:hanging="450"/>
        <w:outlineLvl w:val="0"/>
        <w:rPr>
          <w:iCs/>
        </w:rPr>
      </w:pPr>
      <w:r w:rsidRPr="00656DFE">
        <w:rPr>
          <w:iCs/>
        </w:rPr>
        <w:br w:type="page"/>
      </w:r>
    </w:p>
    <w:p w14:paraId="2E421549" w14:textId="3FD55026" w:rsidR="00E152A7" w:rsidRDefault="00C23004"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7570A262" wp14:editId="4C03CC95">
            <wp:extent cx="5246794" cy="3809154"/>
            <wp:effectExtent l="0" t="0" r="11430" b="12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65D87F63" w14:textId="78FB34E3" w:rsidR="00C23004" w:rsidRDefault="00C23004" w:rsidP="00E152A7">
      <w:pPr>
        <w:spacing w:line="480" w:lineRule="auto"/>
        <w:outlineLvl w:val="0"/>
        <w:rPr>
          <w:rFonts w:eastAsia="Times New Roman"/>
          <w:color w:val="000000" w:themeColor="text1"/>
        </w:rPr>
      </w:pPr>
      <w:r>
        <w:rPr>
          <w:rFonts w:eastAsia="Times New Roman"/>
          <w:i/>
          <w:color w:val="000000" w:themeColor="text1"/>
        </w:rPr>
        <w:t xml:space="preserve">Figure 1. </w:t>
      </w:r>
      <w:r w:rsidR="00EC53AF">
        <w:rPr>
          <w:rFonts w:eastAsia="Times New Roman"/>
          <w:color w:val="000000" w:themeColor="text1"/>
        </w:rPr>
        <w:t>The partner’s daily use of Avoidance interacts with global relationship satisfaction to predict Intimacy-UA.</w:t>
      </w:r>
    </w:p>
    <w:p w14:paraId="21B5EF30" w14:textId="5B961F7D" w:rsidR="00C23004" w:rsidRDefault="00C23004" w:rsidP="00E152A7">
      <w:pPr>
        <w:spacing w:line="480" w:lineRule="auto"/>
        <w:outlineLvl w:val="0"/>
        <w:rPr>
          <w:rFonts w:eastAsia="Times New Roman"/>
          <w:color w:val="000000" w:themeColor="text1"/>
        </w:rPr>
      </w:pPr>
      <w:r>
        <w:rPr>
          <w:rFonts w:eastAsia="Times New Roman"/>
          <w:color w:val="000000" w:themeColor="text1"/>
        </w:rPr>
        <w:br w:type="page"/>
      </w:r>
    </w:p>
    <w:p w14:paraId="2942F386" w14:textId="6778510D" w:rsidR="00C23004" w:rsidRDefault="00B95AF7"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0DCA4EB2" wp14:editId="321BB41B">
            <wp:extent cx="5246794" cy="3809154"/>
            <wp:effectExtent l="0" t="0" r="11430" b="127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8D53C6C" w14:textId="5828E90A" w:rsidR="00B95AF7" w:rsidRDefault="00B95AF7" w:rsidP="00E152A7">
      <w:pPr>
        <w:spacing w:line="480" w:lineRule="auto"/>
        <w:outlineLvl w:val="0"/>
        <w:rPr>
          <w:rFonts w:eastAsia="Times New Roman"/>
          <w:color w:val="000000" w:themeColor="text1"/>
        </w:rPr>
      </w:pPr>
      <w:r>
        <w:rPr>
          <w:rFonts w:eastAsia="Times New Roman"/>
          <w:i/>
          <w:color w:val="000000" w:themeColor="text1"/>
        </w:rPr>
        <w:t xml:space="preserve">Figure 2. </w:t>
      </w:r>
      <w:r w:rsidR="00EC53AF">
        <w:rPr>
          <w:rFonts w:eastAsia="Times New Roman"/>
          <w:color w:val="000000" w:themeColor="text1"/>
        </w:rPr>
        <w:t>The partner’s daily use of Active Repair interacts with global relationship satisfaction to predict Intimacy-UA.</w:t>
      </w:r>
    </w:p>
    <w:p w14:paraId="37FA056D" w14:textId="77777777" w:rsidR="00B95AF7" w:rsidRDefault="00B95AF7" w:rsidP="00E152A7">
      <w:pPr>
        <w:spacing w:line="480" w:lineRule="auto"/>
        <w:outlineLvl w:val="0"/>
        <w:rPr>
          <w:rFonts w:eastAsia="Times New Roman"/>
          <w:color w:val="000000" w:themeColor="text1"/>
        </w:rPr>
      </w:pPr>
    </w:p>
    <w:p w14:paraId="09A8A8CA" w14:textId="4F3B44FE" w:rsidR="00B95AF7" w:rsidRDefault="00B95AF7" w:rsidP="00E152A7">
      <w:pPr>
        <w:spacing w:line="480" w:lineRule="auto"/>
        <w:outlineLvl w:val="0"/>
        <w:rPr>
          <w:rFonts w:eastAsia="Times New Roman"/>
          <w:color w:val="000000" w:themeColor="text1"/>
        </w:rPr>
      </w:pPr>
      <w:r>
        <w:rPr>
          <w:rFonts w:eastAsia="Times New Roman"/>
          <w:color w:val="000000" w:themeColor="text1"/>
        </w:rPr>
        <w:br w:type="page"/>
      </w:r>
    </w:p>
    <w:p w14:paraId="2FD2B4AB" w14:textId="12C0313F" w:rsidR="00B95AF7" w:rsidRDefault="00B95AF7"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722DF5B5" wp14:editId="486FB58D">
            <wp:extent cx="5922203" cy="3802227"/>
            <wp:effectExtent l="0" t="0" r="21590" b="825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BF5A6C9" w14:textId="25DE9A79" w:rsidR="00B95AF7" w:rsidRDefault="00B95AF7" w:rsidP="00E152A7">
      <w:pPr>
        <w:spacing w:line="480" w:lineRule="auto"/>
        <w:outlineLvl w:val="0"/>
        <w:rPr>
          <w:rFonts w:eastAsia="Times New Roman"/>
          <w:color w:val="000000" w:themeColor="text1"/>
        </w:rPr>
      </w:pPr>
      <w:r>
        <w:rPr>
          <w:rFonts w:eastAsia="Times New Roman"/>
          <w:i/>
          <w:color w:val="000000" w:themeColor="text1"/>
        </w:rPr>
        <w:t>Figure 3</w:t>
      </w:r>
      <w:r w:rsidR="00EC53AF">
        <w:rPr>
          <w:rFonts w:eastAsia="Times New Roman"/>
          <w:color w:val="000000" w:themeColor="text1"/>
        </w:rPr>
        <w:t xml:space="preserve">. The partner’s use of Active Repair across the diary period interacts with global relationship satisfaction </w:t>
      </w:r>
      <w:r w:rsidR="005D26AD">
        <w:rPr>
          <w:rFonts w:eastAsia="Times New Roman"/>
          <w:color w:val="000000" w:themeColor="text1"/>
        </w:rPr>
        <w:t xml:space="preserve">to predict </w:t>
      </w:r>
      <w:r w:rsidR="00BE399D">
        <w:rPr>
          <w:rFonts w:eastAsia="Times New Roman"/>
          <w:color w:val="000000" w:themeColor="text1"/>
        </w:rPr>
        <w:t>Negative Affect.</w:t>
      </w:r>
    </w:p>
    <w:p w14:paraId="75FFF4C7" w14:textId="77777777" w:rsidR="00B95AF7" w:rsidRDefault="00B95AF7" w:rsidP="00E152A7">
      <w:pPr>
        <w:spacing w:line="480" w:lineRule="auto"/>
        <w:outlineLvl w:val="0"/>
        <w:rPr>
          <w:rFonts w:eastAsia="Times New Roman"/>
          <w:color w:val="000000" w:themeColor="text1"/>
        </w:rPr>
      </w:pPr>
    </w:p>
    <w:p w14:paraId="7DBE1A43" w14:textId="579EB02C" w:rsidR="00B95AF7" w:rsidRDefault="00B95AF7" w:rsidP="00E152A7">
      <w:pPr>
        <w:spacing w:line="480" w:lineRule="auto"/>
        <w:outlineLvl w:val="0"/>
        <w:rPr>
          <w:rFonts w:eastAsia="Times New Roman"/>
          <w:color w:val="000000" w:themeColor="text1"/>
        </w:rPr>
      </w:pPr>
      <w:r>
        <w:rPr>
          <w:rFonts w:eastAsia="Times New Roman"/>
          <w:color w:val="000000" w:themeColor="text1"/>
        </w:rPr>
        <w:br w:type="page"/>
      </w:r>
    </w:p>
    <w:p w14:paraId="7DD97321" w14:textId="5AAFFB6E" w:rsidR="00B95AF7" w:rsidRDefault="00B95AF7"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2C4D997B" wp14:editId="539A54A7">
            <wp:extent cx="5246794" cy="3809154"/>
            <wp:effectExtent l="0" t="0" r="11430" b="127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0ADC401" w14:textId="00FD3CF7" w:rsidR="00B95AF7" w:rsidRDefault="00B95AF7" w:rsidP="00E152A7">
      <w:pPr>
        <w:spacing w:line="480" w:lineRule="auto"/>
        <w:outlineLvl w:val="0"/>
        <w:rPr>
          <w:rFonts w:eastAsia="Times New Roman"/>
          <w:color w:val="000000" w:themeColor="text1"/>
        </w:rPr>
      </w:pPr>
      <w:r>
        <w:rPr>
          <w:rFonts w:eastAsia="Times New Roman"/>
          <w:i/>
          <w:color w:val="000000" w:themeColor="text1"/>
        </w:rPr>
        <w:t xml:space="preserve">Figure 4. </w:t>
      </w:r>
      <w:r w:rsidR="00BE399D">
        <w:rPr>
          <w:rFonts w:eastAsia="Times New Roman"/>
          <w:color w:val="000000" w:themeColor="text1"/>
        </w:rPr>
        <w:t>The partner’s daily use of Letting the Conflict Go interacts with global relationship satisfaction to predict depressive symptoms.</w:t>
      </w:r>
    </w:p>
    <w:p w14:paraId="122BD75D" w14:textId="77777777" w:rsidR="00B95AF7" w:rsidRDefault="00B95AF7" w:rsidP="00E152A7">
      <w:pPr>
        <w:spacing w:line="480" w:lineRule="auto"/>
        <w:outlineLvl w:val="0"/>
        <w:rPr>
          <w:rFonts w:eastAsia="Times New Roman"/>
          <w:color w:val="000000" w:themeColor="text1"/>
        </w:rPr>
      </w:pPr>
    </w:p>
    <w:p w14:paraId="76CBB797" w14:textId="748A0D7D" w:rsidR="00B95AF7" w:rsidRDefault="00B95AF7" w:rsidP="00E152A7">
      <w:pPr>
        <w:spacing w:line="480" w:lineRule="auto"/>
        <w:outlineLvl w:val="0"/>
        <w:rPr>
          <w:rFonts w:eastAsia="Times New Roman"/>
          <w:color w:val="000000" w:themeColor="text1"/>
        </w:rPr>
      </w:pPr>
      <w:r>
        <w:rPr>
          <w:rFonts w:eastAsia="Times New Roman"/>
          <w:color w:val="000000" w:themeColor="text1"/>
        </w:rPr>
        <w:br w:type="page"/>
      </w:r>
    </w:p>
    <w:p w14:paraId="6F34694C" w14:textId="048BC5AF" w:rsidR="00B95AF7" w:rsidRDefault="00B95AF7"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012B7F7A" wp14:editId="58F6FA01">
            <wp:extent cx="5922203" cy="3802227"/>
            <wp:effectExtent l="0" t="0" r="21590" b="825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8D2EBD7" w14:textId="4F609458" w:rsidR="00B95AF7" w:rsidRDefault="00B95AF7" w:rsidP="00E152A7">
      <w:pPr>
        <w:spacing w:line="480" w:lineRule="auto"/>
        <w:outlineLvl w:val="0"/>
        <w:rPr>
          <w:rFonts w:eastAsia="Times New Roman"/>
          <w:color w:val="000000" w:themeColor="text1"/>
        </w:rPr>
      </w:pPr>
      <w:r>
        <w:rPr>
          <w:rFonts w:eastAsia="Times New Roman"/>
          <w:i/>
          <w:color w:val="000000" w:themeColor="text1"/>
        </w:rPr>
        <w:t>Figure 5.</w:t>
      </w:r>
      <w:r w:rsidR="00BE399D">
        <w:rPr>
          <w:rFonts w:eastAsia="Times New Roman"/>
          <w:color w:val="000000" w:themeColor="text1"/>
        </w:rPr>
        <w:t xml:space="preserve"> The actor’s use of Avoidance across the diary period interacts with the number of conflicts across the diary period to predict Positive Affect.</w:t>
      </w:r>
    </w:p>
    <w:p w14:paraId="6021ECC1" w14:textId="77777777" w:rsidR="00B95AF7" w:rsidRDefault="00B95AF7" w:rsidP="00E152A7">
      <w:pPr>
        <w:spacing w:line="480" w:lineRule="auto"/>
        <w:outlineLvl w:val="0"/>
        <w:rPr>
          <w:rFonts w:eastAsia="Times New Roman"/>
          <w:color w:val="000000" w:themeColor="text1"/>
        </w:rPr>
      </w:pPr>
    </w:p>
    <w:p w14:paraId="48182CB0" w14:textId="15538291" w:rsidR="00B95AF7" w:rsidRDefault="00B95AF7" w:rsidP="00E152A7">
      <w:pPr>
        <w:spacing w:line="480" w:lineRule="auto"/>
        <w:outlineLvl w:val="0"/>
        <w:rPr>
          <w:rFonts w:eastAsia="Times New Roman"/>
          <w:color w:val="000000" w:themeColor="text1"/>
        </w:rPr>
      </w:pPr>
      <w:r>
        <w:rPr>
          <w:rFonts w:eastAsia="Times New Roman"/>
          <w:color w:val="000000" w:themeColor="text1"/>
        </w:rPr>
        <w:br w:type="page"/>
      </w:r>
    </w:p>
    <w:p w14:paraId="3FC4B809" w14:textId="79D6D30B" w:rsidR="00B95AF7" w:rsidRDefault="00B95AF7"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416B45C8" wp14:editId="5DE4DDBD">
            <wp:extent cx="5922203" cy="3802227"/>
            <wp:effectExtent l="0" t="0" r="21590" b="825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2006035" w14:textId="294FD309" w:rsidR="00B95AF7" w:rsidRDefault="00B95AF7" w:rsidP="00E152A7">
      <w:pPr>
        <w:spacing w:line="480" w:lineRule="auto"/>
        <w:outlineLvl w:val="0"/>
        <w:rPr>
          <w:rFonts w:eastAsia="Times New Roman"/>
          <w:color w:val="000000" w:themeColor="text1"/>
        </w:rPr>
      </w:pPr>
      <w:r>
        <w:rPr>
          <w:rFonts w:eastAsia="Times New Roman"/>
          <w:i/>
          <w:color w:val="000000" w:themeColor="text1"/>
        </w:rPr>
        <w:t xml:space="preserve">Figure 6. </w:t>
      </w:r>
      <w:r w:rsidR="00BE399D">
        <w:rPr>
          <w:rFonts w:eastAsia="Times New Roman"/>
          <w:color w:val="000000" w:themeColor="text1"/>
        </w:rPr>
        <w:t>The actor’s use of Avoidance across the diary period interacts with the number of conflicts across the diary period to predict Depressive Symptoms.</w:t>
      </w:r>
    </w:p>
    <w:p w14:paraId="08E76DFC" w14:textId="77777777" w:rsidR="00B95AF7" w:rsidRDefault="00B95AF7" w:rsidP="00E152A7">
      <w:pPr>
        <w:spacing w:line="480" w:lineRule="auto"/>
        <w:outlineLvl w:val="0"/>
        <w:rPr>
          <w:rFonts w:eastAsia="Times New Roman"/>
          <w:color w:val="000000" w:themeColor="text1"/>
        </w:rPr>
      </w:pPr>
    </w:p>
    <w:p w14:paraId="24859B83" w14:textId="39939CE6" w:rsidR="00B95AF7" w:rsidRDefault="00B95AF7" w:rsidP="00E152A7">
      <w:pPr>
        <w:spacing w:line="480" w:lineRule="auto"/>
        <w:outlineLvl w:val="0"/>
        <w:rPr>
          <w:rFonts w:eastAsia="Times New Roman"/>
          <w:color w:val="000000" w:themeColor="text1"/>
        </w:rPr>
      </w:pPr>
      <w:r>
        <w:rPr>
          <w:rFonts w:eastAsia="Times New Roman"/>
          <w:color w:val="000000" w:themeColor="text1"/>
        </w:rPr>
        <w:br w:type="page"/>
      </w:r>
    </w:p>
    <w:p w14:paraId="6EF6ED82" w14:textId="34CE751A" w:rsidR="00B95AF7" w:rsidRDefault="00B95AF7"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6F6F37AA" wp14:editId="507959D7">
            <wp:extent cx="5246794" cy="3809154"/>
            <wp:effectExtent l="0" t="0" r="11430" b="127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8C28F38" w14:textId="4F141D93" w:rsidR="00B95AF7" w:rsidRDefault="00B95AF7" w:rsidP="00E152A7">
      <w:pPr>
        <w:spacing w:line="480" w:lineRule="auto"/>
        <w:outlineLvl w:val="0"/>
        <w:rPr>
          <w:rFonts w:eastAsia="Times New Roman"/>
          <w:color w:val="000000" w:themeColor="text1"/>
        </w:rPr>
      </w:pPr>
      <w:r>
        <w:rPr>
          <w:rFonts w:eastAsia="Times New Roman"/>
          <w:i/>
          <w:color w:val="000000" w:themeColor="text1"/>
        </w:rPr>
        <w:t xml:space="preserve">Figure 7. </w:t>
      </w:r>
      <w:r w:rsidR="003B5939">
        <w:rPr>
          <w:rFonts w:eastAsia="Times New Roman"/>
          <w:color w:val="000000" w:themeColor="text1"/>
        </w:rPr>
        <w:t xml:space="preserve">The actor’s daily use of Active Repair interacts with the number of conflicts across the diary period to predict Intimacy-UA. </w:t>
      </w:r>
    </w:p>
    <w:p w14:paraId="2201B452" w14:textId="77777777" w:rsidR="00B95AF7" w:rsidRDefault="00B95AF7" w:rsidP="00E152A7">
      <w:pPr>
        <w:spacing w:line="480" w:lineRule="auto"/>
        <w:outlineLvl w:val="0"/>
        <w:rPr>
          <w:rFonts w:eastAsia="Times New Roman"/>
          <w:color w:val="000000" w:themeColor="text1"/>
        </w:rPr>
      </w:pPr>
    </w:p>
    <w:p w14:paraId="6F3A4297" w14:textId="0B7F7537" w:rsidR="00324823" w:rsidRDefault="00324823" w:rsidP="00E152A7">
      <w:pPr>
        <w:spacing w:line="480" w:lineRule="auto"/>
        <w:outlineLvl w:val="0"/>
        <w:rPr>
          <w:rFonts w:eastAsia="Times New Roman"/>
          <w:color w:val="000000" w:themeColor="text1"/>
        </w:rPr>
      </w:pPr>
      <w:r>
        <w:rPr>
          <w:rFonts w:eastAsia="Times New Roman"/>
          <w:color w:val="000000" w:themeColor="text1"/>
        </w:rPr>
        <w:br w:type="page"/>
      </w:r>
    </w:p>
    <w:p w14:paraId="33C07814" w14:textId="1A12B03D" w:rsidR="00B95AF7" w:rsidRDefault="00324823"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59FFD32C" wp14:editId="4E045604">
            <wp:extent cx="5246794" cy="3809154"/>
            <wp:effectExtent l="0" t="0" r="11430" b="127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E74E0EF" w14:textId="7972F1C8" w:rsidR="00324823" w:rsidRDefault="00324823" w:rsidP="00E152A7">
      <w:pPr>
        <w:spacing w:line="480" w:lineRule="auto"/>
        <w:outlineLvl w:val="0"/>
        <w:rPr>
          <w:rFonts w:eastAsia="Times New Roman"/>
          <w:color w:val="000000" w:themeColor="text1"/>
        </w:rPr>
      </w:pPr>
      <w:r>
        <w:rPr>
          <w:rFonts w:eastAsia="Times New Roman"/>
          <w:i/>
          <w:color w:val="000000" w:themeColor="text1"/>
        </w:rPr>
        <w:t xml:space="preserve">Figure 8. </w:t>
      </w:r>
      <w:r w:rsidR="00E95D52">
        <w:rPr>
          <w:rFonts w:eastAsia="Times New Roman"/>
          <w:color w:val="000000" w:themeColor="text1"/>
        </w:rPr>
        <w:t>The actor’s daily use of Gaining a New Perspective interacts with the number of conflicts across the diary period to predict Relationship Satisfaction.</w:t>
      </w:r>
    </w:p>
    <w:p w14:paraId="2A0B5839" w14:textId="77777777" w:rsidR="00324823" w:rsidRDefault="00324823" w:rsidP="00E152A7">
      <w:pPr>
        <w:spacing w:line="480" w:lineRule="auto"/>
        <w:outlineLvl w:val="0"/>
        <w:rPr>
          <w:rFonts w:eastAsia="Times New Roman"/>
          <w:color w:val="000000" w:themeColor="text1"/>
        </w:rPr>
      </w:pPr>
    </w:p>
    <w:p w14:paraId="2601A22D" w14:textId="4137890B" w:rsidR="00324823" w:rsidRDefault="00324823" w:rsidP="00E152A7">
      <w:pPr>
        <w:spacing w:line="480" w:lineRule="auto"/>
        <w:outlineLvl w:val="0"/>
        <w:rPr>
          <w:rFonts w:eastAsia="Times New Roman"/>
          <w:color w:val="000000" w:themeColor="text1"/>
        </w:rPr>
      </w:pPr>
      <w:r>
        <w:rPr>
          <w:rFonts w:eastAsia="Times New Roman"/>
          <w:color w:val="000000" w:themeColor="text1"/>
        </w:rPr>
        <w:br w:type="page"/>
      </w:r>
    </w:p>
    <w:p w14:paraId="0A914C2F" w14:textId="6BB248C3" w:rsidR="00324823" w:rsidRDefault="00324823"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319E5EB8" wp14:editId="7C820AE6">
            <wp:extent cx="5922203" cy="3802227"/>
            <wp:effectExtent l="0" t="0" r="21590" b="825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0C6E7E6" w14:textId="738AB023" w:rsidR="00324823" w:rsidRDefault="00324823" w:rsidP="00E152A7">
      <w:pPr>
        <w:spacing w:line="480" w:lineRule="auto"/>
        <w:outlineLvl w:val="0"/>
        <w:rPr>
          <w:rFonts w:eastAsia="Times New Roman"/>
          <w:color w:val="000000" w:themeColor="text1"/>
        </w:rPr>
      </w:pPr>
      <w:r>
        <w:rPr>
          <w:rFonts w:eastAsia="Times New Roman"/>
          <w:i/>
          <w:color w:val="000000" w:themeColor="text1"/>
        </w:rPr>
        <w:t xml:space="preserve">Figure 9. </w:t>
      </w:r>
      <w:r w:rsidR="00E95D52">
        <w:rPr>
          <w:rFonts w:eastAsia="Times New Roman"/>
          <w:color w:val="000000" w:themeColor="text1"/>
        </w:rPr>
        <w:t>The actor’s use of Gaining a New Perspective across the diary period interacts with the number of conflicts across the diary to predict Intimacy-UA.</w:t>
      </w:r>
    </w:p>
    <w:p w14:paraId="5159AC18" w14:textId="77777777" w:rsidR="00324823" w:rsidRDefault="00324823" w:rsidP="00E152A7">
      <w:pPr>
        <w:spacing w:line="480" w:lineRule="auto"/>
        <w:outlineLvl w:val="0"/>
        <w:rPr>
          <w:rFonts w:eastAsia="Times New Roman"/>
          <w:color w:val="000000" w:themeColor="text1"/>
        </w:rPr>
      </w:pPr>
    </w:p>
    <w:p w14:paraId="4968AA3D" w14:textId="7786EDFA" w:rsidR="00324823" w:rsidRDefault="00324823" w:rsidP="00E152A7">
      <w:pPr>
        <w:spacing w:line="480" w:lineRule="auto"/>
        <w:outlineLvl w:val="0"/>
        <w:rPr>
          <w:rFonts w:eastAsia="Times New Roman"/>
          <w:color w:val="000000" w:themeColor="text1"/>
        </w:rPr>
      </w:pPr>
      <w:r>
        <w:rPr>
          <w:rFonts w:eastAsia="Times New Roman"/>
          <w:color w:val="000000" w:themeColor="text1"/>
        </w:rPr>
        <w:br w:type="page"/>
      </w:r>
    </w:p>
    <w:p w14:paraId="0E6476B3" w14:textId="12AA066D" w:rsidR="00324823" w:rsidRDefault="00324823"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1FC53D25" wp14:editId="3BCA52F0">
            <wp:extent cx="5246794" cy="3809154"/>
            <wp:effectExtent l="0" t="0" r="11430" b="127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2D3F47A" w14:textId="6D871280" w:rsidR="00324823" w:rsidRDefault="00324823" w:rsidP="00E152A7">
      <w:pPr>
        <w:spacing w:line="480" w:lineRule="auto"/>
        <w:outlineLvl w:val="0"/>
        <w:rPr>
          <w:rFonts w:eastAsia="Times New Roman"/>
          <w:color w:val="000000" w:themeColor="text1"/>
        </w:rPr>
      </w:pPr>
      <w:r>
        <w:rPr>
          <w:rFonts w:eastAsia="Times New Roman"/>
          <w:i/>
          <w:color w:val="000000" w:themeColor="text1"/>
        </w:rPr>
        <w:t xml:space="preserve">Figure 10. </w:t>
      </w:r>
      <w:r w:rsidR="00E95D52">
        <w:rPr>
          <w:rFonts w:eastAsia="Times New Roman"/>
          <w:color w:val="000000" w:themeColor="text1"/>
        </w:rPr>
        <w:t>The partner’s daily use of Gaining a New Perspective interacts with the number of conflicts across the diary period to predict Positive Affect.</w:t>
      </w:r>
    </w:p>
    <w:p w14:paraId="717C7932" w14:textId="77777777" w:rsidR="00324823" w:rsidRDefault="00324823" w:rsidP="00E152A7">
      <w:pPr>
        <w:spacing w:line="480" w:lineRule="auto"/>
        <w:outlineLvl w:val="0"/>
        <w:rPr>
          <w:rFonts w:eastAsia="Times New Roman"/>
          <w:color w:val="000000" w:themeColor="text1"/>
        </w:rPr>
      </w:pPr>
    </w:p>
    <w:p w14:paraId="4F426162" w14:textId="274F21CB" w:rsidR="00324823" w:rsidRDefault="00324823" w:rsidP="00E152A7">
      <w:pPr>
        <w:spacing w:line="480" w:lineRule="auto"/>
        <w:outlineLvl w:val="0"/>
        <w:rPr>
          <w:rFonts w:eastAsia="Times New Roman"/>
          <w:color w:val="000000" w:themeColor="text1"/>
        </w:rPr>
      </w:pPr>
      <w:r>
        <w:rPr>
          <w:rFonts w:eastAsia="Times New Roman"/>
          <w:color w:val="000000" w:themeColor="text1"/>
        </w:rPr>
        <w:br w:type="page"/>
      </w:r>
    </w:p>
    <w:p w14:paraId="21D025AA" w14:textId="73B27268" w:rsidR="00324823" w:rsidRDefault="00324823"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1FDC0814" wp14:editId="344921CC">
            <wp:extent cx="5922203" cy="3802227"/>
            <wp:effectExtent l="0" t="0" r="21590" b="825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AACA513" w14:textId="2F9D1660" w:rsidR="00324823" w:rsidRDefault="00324823" w:rsidP="00E152A7">
      <w:pPr>
        <w:spacing w:line="480" w:lineRule="auto"/>
        <w:outlineLvl w:val="0"/>
        <w:rPr>
          <w:rFonts w:eastAsia="Times New Roman"/>
          <w:color w:val="000000" w:themeColor="text1"/>
        </w:rPr>
      </w:pPr>
      <w:r>
        <w:rPr>
          <w:rFonts w:eastAsia="Times New Roman"/>
          <w:i/>
          <w:color w:val="000000" w:themeColor="text1"/>
        </w:rPr>
        <w:t xml:space="preserve">Figure 11. </w:t>
      </w:r>
      <w:r w:rsidR="00E95D52">
        <w:rPr>
          <w:rFonts w:eastAsia="Times New Roman"/>
          <w:color w:val="000000" w:themeColor="text1"/>
        </w:rPr>
        <w:t>The actor’s use of Letting the Conflict across the diary period interacts with the number of conflicts across the diary period to predict Depressive Symptoms.</w:t>
      </w:r>
    </w:p>
    <w:p w14:paraId="75F6029D" w14:textId="1B705AF6" w:rsidR="00324823" w:rsidRDefault="00324823" w:rsidP="00E152A7">
      <w:pPr>
        <w:spacing w:line="480" w:lineRule="auto"/>
        <w:outlineLvl w:val="0"/>
        <w:rPr>
          <w:rFonts w:eastAsia="Times New Roman"/>
          <w:color w:val="000000" w:themeColor="text1"/>
        </w:rPr>
      </w:pPr>
      <w:r>
        <w:rPr>
          <w:rFonts w:eastAsia="Times New Roman"/>
          <w:color w:val="000000" w:themeColor="text1"/>
        </w:rPr>
        <w:br w:type="page"/>
      </w:r>
    </w:p>
    <w:p w14:paraId="405E5CD8" w14:textId="6A3D7DCA" w:rsidR="00324823" w:rsidRDefault="00324823"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540FA166" wp14:editId="498A91E4">
            <wp:extent cx="5246794" cy="3809154"/>
            <wp:effectExtent l="0" t="0" r="11430" b="127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2F3BE9D" w14:textId="578C8EF5" w:rsidR="00324823" w:rsidRDefault="00324823" w:rsidP="00E152A7">
      <w:pPr>
        <w:spacing w:line="480" w:lineRule="auto"/>
        <w:outlineLvl w:val="0"/>
        <w:rPr>
          <w:rFonts w:eastAsia="Times New Roman"/>
          <w:color w:val="000000" w:themeColor="text1"/>
        </w:rPr>
      </w:pPr>
      <w:r>
        <w:rPr>
          <w:rFonts w:eastAsia="Times New Roman"/>
          <w:i/>
          <w:color w:val="000000" w:themeColor="text1"/>
        </w:rPr>
        <w:t xml:space="preserve">Figure 12. </w:t>
      </w:r>
      <w:r w:rsidR="005D061F">
        <w:rPr>
          <w:rFonts w:eastAsia="Times New Roman"/>
          <w:color w:val="000000" w:themeColor="text1"/>
        </w:rPr>
        <w:t>The partner’s daily use of Letting the Conflict Go interacts with the number of conflicts across the diary period to predict Negative Affect.</w:t>
      </w:r>
    </w:p>
    <w:p w14:paraId="769B0A75" w14:textId="421036F6" w:rsidR="00324823" w:rsidRDefault="00324823" w:rsidP="00E152A7">
      <w:pPr>
        <w:spacing w:line="480" w:lineRule="auto"/>
        <w:outlineLvl w:val="0"/>
        <w:rPr>
          <w:rFonts w:eastAsia="Times New Roman"/>
          <w:color w:val="000000" w:themeColor="text1"/>
        </w:rPr>
      </w:pPr>
      <w:r>
        <w:rPr>
          <w:rFonts w:eastAsia="Times New Roman"/>
          <w:color w:val="000000" w:themeColor="text1"/>
        </w:rPr>
        <w:br w:type="page"/>
      </w:r>
    </w:p>
    <w:p w14:paraId="03196193" w14:textId="4590E617" w:rsidR="00324823" w:rsidRDefault="00324823"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62D7E8F4" wp14:editId="6EE34497">
            <wp:extent cx="5246794" cy="3809154"/>
            <wp:effectExtent l="0" t="0" r="11430" b="127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356E38F" w14:textId="569FFBEA" w:rsidR="00324823" w:rsidRDefault="00324823" w:rsidP="00E152A7">
      <w:pPr>
        <w:spacing w:line="480" w:lineRule="auto"/>
        <w:outlineLvl w:val="0"/>
        <w:rPr>
          <w:rFonts w:eastAsia="Times New Roman"/>
          <w:color w:val="000000" w:themeColor="text1"/>
        </w:rPr>
      </w:pPr>
      <w:r>
        <w:rPr>
          <w:rFonts w:eastAsia="Times New Roman"/>
          <w:i/>
          <w:color w:val="000000" w:themeColor="text1"/>
        </w:rPr>
        <w:t xml:space="preserve">Figure 13. </w:t>
      </w:r>
      <w:r w:rsidR="005D061F">
        <w:rPr>
          <w:rFonts w:eastAsia="Times New Roman"/>
          <w:color w:val="000000" w:themeColor="text1"/>
        </w:rPr>
        <w:t>The actor’s daily use of Avoidance interacts with conflict seriousness to predict Depressive Symptoms.</w:t>
      </w:r>
    </w:p>
    <w:p w14:paraId="54BC4B42" w14:textId="77777777" w:rsidR="005D061F" w:rsidRDefault="005D061F" w:rsidP="00E152A7">
      <w:pPr>
        <w:spacing w:line="480" w:lineRule="auto"/>
        <w:outlineLvl w:val="0"/>
        <w:rPr>
          <w:rFonts w:eastAsia="Times New Roman"/>
          <w:color w:val="000000" w:themeColor="text1"/>
        </w:rPr>
      </w:pPr>
    </w:p>
    <w:p w14:paraId="27E506C6" w14:textId="77777777" w:rsidR="00324823" w:rsidRDefault="00324823" w:rsidP="00E152A7">
      <w:pPr>
        <w:spacing w:line="480" w:lineRule="auto"/>
        <w:outlineLvl w:val="0"/>
        <w:rPr>
          <w:rFonts w:eastAsia="Times New Roman"/>
          <w:color w:val="000000" w:themeColor="text1"/>
        </w:rPr>
      </w:pPr>
    </w:p>
    <w:p w14:paraId="27FCC7E2" w14:textId="5A1D70B6" w:rsidR="00324823" w:rsidRDefault="00324823" w:rsidP="00E152A7">
      <w:pPr>
        <w:spacing w:line="480" w:lineRule="auto"/>
        <w:outlineLvl w:val="0"/>
        <w:rPr>
          <w:rFonts w:eastAsia="Times New Roman"/>
          <w:color w:val="000000" w:themeColor="text1"/>
        </w:rPr>
      </w:pPr>
      <w:r>
        <w:rPr>
          <w:rFonts w:eastAsia="Times New Roman"/>
          <w:color w:val="000000" w:themeColor="text1"/>
        </w:rPr>
        <w:br w:type="page"/>
      </w:r>
    </w:p>
    <w:p w14:paraId="3679E683" w14:textId="7837B04E" w:rsidR="00324823" w:rsidRDefault="00AF6138"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0B738831" wp14:editId="2ABACC81">
            <wp:extent cx="5246794" cy="3809154"/>
            <wp:effectExtent l="0" t="0" r="11430" b="127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339E708" w14:textId="5010E3B1" w:rsidR="00AF6138" w:rsidRDefault="00AF6138" w:rsidP="00E152A7">
      <w:pPr>
        <w:spacing w:line="480" w:lineRule="auto"/>
        <w:outlineLvl w:val="0"/>
        <w:rPr>
          <w:rFonts w:eastAsia="Times New Roman"/>
          <w:color w:val="000000" w:themeColor="text1"/>
        </w:rPr>
      </w:pPr>
      <w:r>
        <w:rPr>
          <w:rFonts w:eastAsia="Times New Roman"/>
          <w:i/>
          <w:color w:val="000000" w:themeColor="text1"/>
        </w:rPr>
        <w:t xml:space="preserve">Figure 14. </w:t>
      </w:r>
      <w:r w:rsidR="005D061F">
        <w:rPr>
          <w:rFonts w:eastAsia="Times New Roman"/>
          <w:color w:val="000000" w:themeColor="text1"/>
        </w:rPr>
        <w:t>The partner’s daily use of Avoidance interacts with conflict seriousness to predict Relationship Satisfaction.</w:t>
      </w:r>
    </w:p>
    <w:p w14:paraId="0DE2A3B3" w14:textId="2D5827A6" w:rsidR="00AF6138" w:rsidRDefault="00AF6138" w:rsidP="00E152A7">
      <w:pPr>
        <w:spacing w:line="480" w:lineRule="auto"/>
        <w:outlineLvl w:val="0"/>
        <w:rPr>
          <w:rFonts w:eastAsia="Times New Roman"/>
          <w:color w:val="000000" w:themeColor="text1"/>
        </w:rPr>
      </w:pPr>
      <w:r>
        <w:rPr>
          <w:rFonts w:eastAsia="Times New Roman"/>
          <w:color w:val="000000" w:themeColor="text1"/>
        </w:rPr>
        <w:br w:type="page"/>
      </w:r>
    </w:p>
    <w:p w14:paraId="29F5CF7E" w14:textId="09DD07AA" w:rsidR="00AF6138" w:rsidRDefault="00AF6138"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7F7BB47C" wp14:editId="5BFFD173">
            <wp:extent cx="5246794" cy="3809154"/>
            <wp:effectExtent l="0" t="0" r="11430" b="127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FF1F061" w14:textId="76827C0B" w:rsidR="00AF6138" w:rsidRDefault="00AF6138" w:rsidP="00E152A7">
      <w:pPr>
        <w:spacing w:line="480" w:lineRule="auto"/>
        <w:outlineLvl w:val="0"/>
        <w:rPr>
          <w:rFonts w:eastAsia="Times New Roman"/>
          <w:color w:val="000000" w:themeColor="text1"/>
        </w:rPr>
      </w:pPr>
      <w:r>
        <w:rPr>
          <w:rFonts w:eastAsia="Times New Roman"/>
          <w:i/>
          <w:color w:val="000000" w:themeColor="text1"/>
        </w:rPr>
        <w:t xml:space="preserve">Figure 15. </w:t>
      </w:r>
      <w:r w:rsidR="005D061F">
        <w:rPr>
          <w:rFonts w:eastAsia="Times New Roman"/>
          <w:color w:val="000000" w:themeColor="text1"/>
        </w:rPr>
        <w:t>The partner’s daily use of Avoidance interacts with conflict seriousness to predict Depressive Symptoms.</w:t>
      </w:r>
    </w:p>
    <w:p w14:paraId="310BC9B8" w14:textId="77777777" w:rsidR="00AF6138" w:rsidRDefault="00AF6138" w:rsidP="00E152A7">
      <w:pPr>
        <w:spacing w:line="480" w:lineRule="auto"/>
        <w:outlineLvl w:val="0"/>
        <w:rPr>
          <w:rFonts w:eastAsia="Times New Roman"/>
          <w:color w:val="000000" w:themeColor="text1"/>
        </w:rPr>
      </w:pPr>
    </w:p>
    <w:p w14:paraId="2C4657FC" w14:textId="174B21C8" w:rsidR="00AF6138" w:rsidRDefault="00AF6138" w:rsidP="00E152A7">
      <w:pPr>
        <w:spacing w:line="480" w:lineRule="auto"/>
        <w:outlineLvl w:val="0"/>
        <w:rPr>
          <w:rFonts w:eastAsia="Times New Roman"/>
          <w:color w:val="000000" w:themeColor="text1"/>
        </w:rPr>
      </w:pPr>
      <w:r>
        <w:rPr>
          <w:rFonts w:eastAsia="Times New Roman"/>
          <w:color w:val="000000" w:themeColor="text1"/>
        </w:rPr>
        <w:br w:type="page"/>
      </w:r>
    </w:p>
    <w:p w14:paraId="385BB678" w14:textId="5DAF1FA1" w:rsidR="00AF6138" w:rsidRDefault="00AF6138"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225D4007" wp14:editId="0EE39BE5">
            <wp:extent cx="5922203" cy="3802227"/>
            <wp:effectExtent l="0" t="0" r="21590" b="825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45849E6" w14:textId="5B208936" w:rsidR="00AF6138" w:rsidRDefault="00AF6138" w:rsidP="00E152A7">
      <w:pPr>
        <w:spacing w:line="480" w:lineRule="auto"/>
        <w:outlineLvl w:val="0"/>
        <w:rPr>
          <w:rFonts w:eastAsia="Times New Roman"/>
          <w:color w:val="000000" w:themeColor="text1"/>
        </w:rPr>
      </w:pPr>
      <w:r>
        <w:rPr>
          <w:rFonts w:eastAsia="Times New Roman"/>
          <w:i/>
          <w:color w:val="000000" w:themeColor="text1"/>
        </w:rPr>
        <w:t xml:space="preserve">Figure 16. </w:t>
      </w:r>
      <w:r w:rsidR="005D061F">
        <w:rPr>
          <w:rFonts w:eastAsia="Times New Roman"/>
          <w:color w:val="000000" w:themeColor="text1"/>
        </w:rPr>
        <w:t>The partner’s use of Avoidance across the diary period interacts with conflict seriousness to predict Intimacy-UA.</w:t>
      </w:r>
      <w:r>
        <w:rPr>
          <w:rFonts w:eastAsia="Times New Roman"/>
          <w:color w:val="000000" w:themeColor="text1"/>
        </w:rPr>
        <w:br w:type="page"/>
      </w:r>
    </w:p>
    <w:p w14:paraId="4114A88B" w14:textId="56C8728A" w:rsidR="00AF6138" w:rsidRDefault="00AF6138"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62DF03A7" wp14:editId="1E35FC94">
            <wp:extent cx="5922203" cy="3802227"/>
            <wp:effectExtent l="0" t="0" r="21590" b="8255"/>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2D947AF" w14:textId="2210A284" w:rsidR="00AF6138" w:rsidRDefault="00AF6138" w:rsidP="00E152A7">
      <w:pPr>
        <w:spacing w:line="480" w:lineRule="auto"/>
        <w:outlineLvl w:val="0"/>
        <w:rPr>
          <w:rFonts w:eastAsia="Times New Roman"/>
          <w:color w:val="000000" w:themeColor="text1"/>
        </w:rPr>
      </w:pPr>
      <w:r>
        <w:rPr>
          <w:rFonts w:eastAsia="Times New Roman"/>
          <w:i/>
          <w:color w:val="000000" w:themeColor="text1"/>
        </w:rPr>
        <w:t xml:space="preserve">Figure 17. </w:t>
      </w:r>
      <w:r w:rsidR="005D061F">
        <w:rPr>
          <w:rFonts w:eastAsia="Times New Roman"/>
          <w:color w:val="000000" w:themeColor="text1"/>
        </w:rPr>
        <w:t>The partner’s use of Avoidance across the diary period interacts with conflict seriousness to predict Relationship Satisfaction.</w:t>
      </w:r>
    </w:p>
    <w:p w14:paraId="0E1CECC2" w14:textId="77777777" w:rsidR="00AF6138" w:rsidRDefault="00AF6138" w:rsidP="00E152A7">
      <w:pPr>
        <w:spacing w:line="480" w:lineRule="auto"/>
        <w:outlineLvl w:val="0"/>
        <w:rPr>
          <w:rFonts w:eastAsia="Times New Roman"/>
          <w:color w:val="000000" w:themeColor="text1"/>
        </w:rPr>
      </w:pPr>
    </w:p>
    <w:p w14:paraId="06B3773E" w14:textId="3F6D9316" w:rsidR="00AF6138" w:rsidRDefault="00AF6138" w:rsidP="00E152A7">
      <w:pPr>
        <w:spacing w:line="480" w:lineRule="auto"/>
        <w:outlineLvl w:val="0"/>
        <w:rPr>
          <w:rFonts w:eastAsia="Times New Roman"/>
          <w:color w:val="000000" w:themeColor="text1"/>
        </w:rPr>
      </w:pPr>
      <w:r>
        <w:rPr>
          <w:rFonts w:eastAsia="Times New Roman"/>
          <w:color w:val="000000" w:themeColor="text1"/>
        </w:rPr>
        <w:br w:type="page"/>
      </w:r>
    </w:p>
    <w:p w14:paraId="69B0985E" w14:textId="7F0917FE" w:rsidR="00AF6138" w:rsidRDefault="00AF6138"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1AEA6256" wp14:editId="03ED98D2">
            <wp:extent cx="5922203" cy="3802227"/>
            <wp:effectExtent l="0" t="0" r="21590" b="8255"/>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2F1FBF3" w14:textId="27CDD3CB" w:rsidR="00AF6138" w:rsidRDefault="00AF6138" w:rsidP="00E152A7">
      <w:pPr>
        <w:spacing w:line="480" w:lineRule="auto"/>
        <w:outlineLvl w:val="0"/>
        <w:rPr>
          <w:rFonts w:eastAsia="Times New Roman"/>
          <w:color w:val="000000" w:themeColor="text1"/>
        </w:rPr>
      </w:pPr>
      <w:r>
        <w:rPr>
          <w:rFonts w:eastAsia="Times New Roman"/>
          <w:i/>
          <w:color w:val="000000" w:themeColor="text1"/>
        </w:rPr>
        <w:t xml:space="preserve">Figure 18. </w:t>
      </w:r>
      <w:r w:rsidR="00BC29A7">
        <w:rPr>
          <w:rFonts w:eastAsia="Times New Roman"/>
          <w:color w:val="000000" w:themeColor="text1"/>
        </w:rPr>
        <w:t>The partner’s use of Avoidance across the diary period interacts with conflict seriousness to predict Depressive Symptoms.</w:t>
      </w:r>
    </w:p>
    <w:p w14:paraId="6DF7B7E9" w14:textId="77777777" w:rsidR="00AF6138" w:rsidRDefault="00AF6138" w:rsidP="00E152A7">
      <w:pPr>
        <w:spacing w:line="480" w:lineRule="auto"/>
        <w:outlineLvl w:val="0"/>
        <w:rPr>
          <w:rFonts w:eastAsia="Times New Roman"/>
          <w:color w:val="000000" w:themeColor="text1"/>
        </w:rPr>
      </w:pPr>
    </w:p>
    <w:p w14:paraId="53574B52" w14:textId="08302BD5" w:rsidR="00AF6138" w:rsidRDefault="00AF6138" w:rsidP="00E152A7">
      <w:pPr>
        <w:spacing w:line="480" w:lineRule="auto"/>
        <w:outlineLvl w:val="0"/>
        <w:rPr>
          <w:rFonts w:eastAsia="Times New Roman"/>
          <w:color w:val="000000" w:themeColor="text1"/>
        </w:rPr>
      </w:pPr>
      <w:r>
        <w:rPr>
          <w:rFonts w:eastAsia="Times New Roman"/>
          <w:color w:val="000000" w:themeColor="text1"/>
        </w:rPr>
        <w:br w:type="page"/>
      </w:r>
    </w:p>
    <w:p w14:paraId="3B0E42F3" w14:textId="5B8870A9" w:rsidR="00AF6138" w:rsidRDefault="00D15DAC"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1C56E8B3" wp14:editId="5B36D641">
            <wp:extent cx="5246794" cy="3809154"/>
            <wp:effectExtent l="0" t="0" r="11430" b="127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1B43091" w14:textId="41D02CD3" w:rsidR="00D15DAC" w:rsidRDefault="00D15DAC" w:rsidP="00E152A7">
      <w:pPr>
        <w:spacing w:line="480" w:lineRule="auto"/>
        <w:outlineLvl w:val="0"/>
        <w:rPr>
          <w:rFonts w:eastAsia="Times New Roman"/>
          <w:color w:val="000000" w:themeColor="text1"/>
        </w:rPr>
      </w:pPr>
      <w:r>
        <w:rPr>
          <w:rFonts w:eastAsia="Times New Roman"/>
          <w:i/>
          <w:color w:val="000000" w:themeColor="text1"/>
        </w:rPr>
        <w:t xml:space="preserve">Figure 19. </w:t>
      </w:r>
      <w:r w:rsidR="00BC29A7">
        <w:rPr>
          <w:rFonts w:eastAsia="Times New Roman"/>
          <w:color w:val="000000" w:themeColor="text1"/>
        </w:rPr>
        <w:t>The actor’s daily use of Active Repair interacts with conflict seriousness to predict Positive Affect.</w:t>
      </w:r>
    </w:p>
    <w:p w14:paraId="50D52FB6" w14:textId="64A18604" w:rsidR="00D15DAC" w:rsidRDefault="00D15DAC" w:rsidP="00E152A7">
      <w:pPr>
        <w:spacing w:line="480" w:lineRule="auto"/>
        <w:outlineLvl w:val="0"/>
        <w:rPr>
          <w:rFonts w:eastAsia="Times New Roman"/>
          <w:color w:val="000000" w:themeColor="text1"/>
        </w:rPr>
      </w:pPr>
      <w:r>
        <w:rPr>
          <w:rFonts w:eastAsia="Times New Roman"/>
          <w:color w:val="000000" w:themeColor="text1"/>
        </w:rPr>
        <w:br w:type="page"/>
      </w:r>
    </w:p>
    <w:p w14:paraId="239F2A49" w14:textId="3E5A14A2" w:rsidR="00D15DAC" w:rsidRDefault="00F66822"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20D663DE" wp14:editId="3E88BC0D">
            <wp:extent cx="5246794" cy="3809154"/>
            <wp:effectExtent l="0" t="0" r="11430" b="127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C6F80B8" w14:textId="33080227" w:rsidR="00F66822" w:rsidRDefault="00F66822" w:rsidP="00E152A7">
      <w:pPr>
        <w:spacing w:line="480" w:lineRule="auto"/>
        <w:outlineLvl w:val="0"/>
        <w:rPr>
          <w:rFonts w:eastAsia="Times New Roman"/>
          <w:color w:val="000000" w:themeColor="text1"/>
        </w:rPr>
      </w:pPr>
      <w:r>
        <w:rPr>
          <w:rFonts w:eastAsia="Times New Roman"/>
          <w:i/>
          <w:color w:val="000000" w:themeColor="text1"/>
        </w:rPr>
        <w:t xml:space="preserve">Figure 20. </w:t>
      </w:r>
      <w:r w:rsidR="00BC29A7">
        <w:rPr>
          <w:rFonts w:eastAsia="Times New Roman"/>
          <w:color w:val="000000" w:themeColor="text1"/>
        </w:rPr>
        <w:t>The partner’s daily use of Active Repair interacts with conflict seriousness to predict Relationship Satisfaction.</w:t>
      </w:r>
    </w:p>
    <w:p w14:paraId="2B1287F8" w14:textId="77777777" w:rsidR="00F66822" w:rsidRDefault="00F66822" w:rsidP="00E152A7">
      <w:pPr>
        <w:spacing w:line="480" w:lineRule="auto"/>
        <w:outlineLvl w:val="0"/>
        <w:rPr>
          <w:rFonts w:eastAsia="Times New Roman"/>
          <w:color w:val="000000" w:themeColor="text1"/>
        </w:rPr>
      </w:pPr>
    </w:p>
    <w:p w14:paraId="1C394FB9" w14:textId="6D3C872D" w:rsidR="00DB6325" w:rsidRDefault="00DB6325" w:rsidP="00E152A7">
      <w:pPr>
        <w:spacing w:line="480" w:lineRule="auto"/>
        <w:outlineLvl w:val="0"/>
        <w:rPr>
          <w:rFonts w:eastAsia="Times New Roman"/>
          <w:color w:val="000000" w:themeColor="text1"/>
        </w:rPr>
      </w:pPr>
      <w:r>
        <w:rPr>
          <w:rFonts w:eastAsia="Times New Roman"/>
          <w:color w:val="000000" w:themeColor="text1"/>
        </w:rPr>
        <w:br w:type="page"/>
      </w:r>
    </w:p>
    <w:p w14:paraId="461ACE0C" w14:textId="322E53FA" w:rsidR="00F66822" w:rsidRDefault="00DB6325"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36586454" wp14:editId="3CC5C5AA">
            <wp:extent cx="5922203" cy="3802227"/>
            <wp:effectExtent l="0" t="0" r="21590" b="8255"/>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C2C48C8" w14:textId="31C528B1" w:rsidR="00DB6325" w:rsidRDefault="00DB6325" w:rsidP="00E152A7">
      <w:pPr>
        <w:spacing w:line="480" w:lineRule="auto"/>
        <w:outlineLvl w:val="0"/>
        <w:rPr>
          <w:rFonts w:eastAsia="Times New Roman"/>
          <w:color w:val="000000" w:themeColor="text1"/>
        </w:rPr>
      </w:pPr>
      <w:r>
        <w:rPr>
          <w:rFonts w:eastAsia="Times New Roman"/>
          <w:i/>
          <w:color w:val="000000" w:themeColor="text1"/>
        </w:rPr>
        <w:t xml:space="preserve">Figure 21. </w:t>
      </w:r>
      <w:r w:rsidR="00BC29A7">
        <w:rPr>
          <w:rFonts w:eastAsia="Times New Roman"/>
          <w:color w:val="000000" w:themeColor="text1"/>
        </w:rPr>
        <w:t>The partner’s use of Active Repair across the diary period interacts with conflict seriousness to predict Positive Affect.</w:t>
      </w:r>
    </w:p>
    <w:p w14:paraId="4529C37E" w14:textId="10538A1C" w:rsidR="00EB3B75" w:rsidRDefault="00EB3B75" w:rsidP="00E152A7">
      <w:pPr>
        <w:spacing w:line="480" w:lineRule="auto"/>
        <w:outlineLvl w:val="0"/>
        <w:rPr>
          <w:rFonts w:eastAsia="Times New Roman"/>
          <w:color w:val="000000" w:themeColor="text1"/>
        </w:rPr>
      </w:pPr>
      <w:r>
        <w:rPr>
          <w:rFonts w:eastAsia="Times New Roman"/>
          <w:color w:val="000000" w:themeColor="text1"/>
        </w:rPr>
        <w:br w:type="page"/>
      </w:r>
    </w:p>
    <w:p w14:paraId="6FE6082B" w14:textId="5F4328AE" w:rsidR="00DB6325" w:rsidRDefault="00EB3B75"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2E7C76ED" wp14:editId="128A645A">
            <wp:extent cx="5922203" cy="3802227"/>
            <wp:effectExtent l="0" t="0" r="21590" b="8255"/>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F8E5C4B" w14:textId="56936C68" w:rsidR="00EB3B75" w:rsidRDefault="00EB3B75" w:rsidP="00E152A7">
      <w:pPr>
        <w:spacing w:line="480" w:lineRule="auto"/>
        <w:outlineLvl w:val="0"/>
        <w:rPr>
          <w:rFonts w:eastAsia="Times New Roman"/>
          <w:color w:val="000000" w:themeColor="text1"/>
        </w:rPr>
      </w:pPr>
      <w:r>
        <w:rPr>
          <w:rFonts w:eastAsia="Times New Roman"/>
          <w:i/>
          <w:color w:val="000000" w:themeColor="text1"/>
        </w:rPr>
        <w:t xml:space="preserve">Figure 22. </w:t>
      </w:r>
      <w:r w:rsidR="00BC29A7">
        <w:rPr>
          <w:rFonts w:eastAsia="Times New Roman"/>
          <w:color w:val="000000" w:themeColor="text1"/>
        </w:rPr>
        <w:t>The partner’s use of Active Repair across the diary period interacts with conflict seriousness to predict Relationship Satisfaction.</w:t>
      </w:r>
    </w:p>
    <w:p w14:paraId="7352AC37" w14:textId="77777777" w:rsidR="00EB3B75" w:rsidRDefault="00EB3B75" w:rsidP="00E152A7">
      <w:pPr>
        <w:spacing w:line="480" w:lineRule="auto"/>
        <w:outlineLvl w:val="0"/>
        <w:rPr>
          <w:rFonts w:eastAsia="Times New Roman"/>
          <w:color w:val="000000" w:themeColor="text1"/>
        </w:rPr>
      </w:pPr>
    </w:p>
    <w:p w14:paraId="289F6A57" w14:textId="74B559D6" w:rsidR="00B9524D" w:rsidRDefault="00B9524D" w:rsidP="00E152A7">
      <w:pPr>
        <w:spacing w:line="480" w:lineRule="auto"/>
        <w:outlineLvl w:val="0"/>
        <w:rPr>
          <w:rFonts w:eastAsia="Times New Roman"/>
          <w:color w:val="000000" w:themeColor="text1"/>
        </w:rPr>
      </w:pPr>
      <w:r>
        <w:rPr>
          <w:rFonts w:eastAsia="Times New Roman"/>
          <w:color w:val="000000" w:themeColor="text1"/>
        </w:rPr>
        <w:br w:type="page"/>
      </w:r>
    </w:p>
    <w:p w14:paraId="6C4467EB" w14:textId="1C45A4B0" w:rsidR="00B9524D" w:rsidRDefault="00086A59"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36CBA278" wp14:editId="4242F451">
            <wp:extent cx="5246794" cy="3809154"/>
            <wp:effectExtent l="0" t="0" r="11430" b="127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6440A2E" w14:textId="56D8216E" w:rsidR="00086A59" w:rsidRPr="00086A59" w:rsidRDefault="00086A59" w:rsidP="00E152A7">
      <w:pPr>
        <w:spacing w:line="480" w:lineRule="auto"/>
        <w:outlineLvl w:val="0"/>
        <w:rPr>
          <w:rFonts w:eastAsia="Times New Roman"/>
          <w:color w:val="000000" w:themeColor="text1"/>
        </w:rPr>
      </w:pPr>
      <w:r>
        <w:rPr>
          <w:rFonts w:eastAsia="Times New Roman"/>
          <w:i/>
          <w:color w:val="000000" w:themeColor="text1"/>
        </w:rPr>
        <w:t xml:space="preserve">Figure 23. </w:t>
      </w:r>
      <w:r w:rsidR="00BC29A7">
        <w:rPr>
          <w:rFonts w:eastAsia="Times New Roman"/>
          <w:color w:val="000000" w:themeColor="text1"/>
        </w:rPr>
        <w:t>The partner’s daily use of Gain a New Perspective interacts with conflict seriousness to predict Depressive Symptoms.</w:t>
      </w:r>
    </w:p>
    <w:p w14:paraId="610AA0D9" w14:textId="218E9B37" w:rsidR="00EB3B75" w:rsidRDefault="00EB3B75" w:rsidP="00E152A7">
      <w:pPr>
        <w:spacing w:line="480" w:lineRule="auto"/>
        <w:outlineLvl w:val="0"/>
        <w:rPr>
          <w:rFonts w:eastAsia="Times New Roman"/>
          <w:color w:val="000000" w:themeColor="text1"/>
        </w:rPr>
      </w:pPr>
      <w:r>
        <w:rPr>
          <w:rFonts w:eastAsia="Times New Roman"/>
          <w:color w:val="000000" w:themeColor="text1"/>
        </w:rPr>
        <w:br w:type="page"/>
      </w:r>
    </w:p>
    <w:p w14:paraId="76E55270" w14:textId="203D1883" w:rsidR="00EB3B75" w:rsidRDefault="00EB3B75"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62E227AA" wp14:editId="5D4A3368">
            <wp:extent cx="5922203" cy="3802227"/>
            <wp:effectExtent l="0" t="0" r="21590" b="8255"/>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1432C2CE" w14:textId="0C844F5E" w:rsidR="00EB3B75" w:rsidRDefault="00B9524D" w:rsidP="00E152A7">
      <w:pPr>
        <w:spacing w:line="480" w:lineRule="auto"/>
        <w:outlineLvl w:val="0"/>
        <w:rPr>
          <w:rFonts w:eastAsia="Times New Roman"/>
          <w:color w:val="000000" w:themeColor="text1"/>
        </w:rPr>
      </w:pPr>
      <w:r>
        <w:rPr>
          <w:rFonts w:eastAsia="Times New Roman"/>
          <w:i/>
          <w:color w:val="000000" w:themeColor="text1"/>
        </w:rPr>
        <w:t>Figure 24</w:t>
      </w:r>
      <w:r w:rsidR="00EB3B75">
        <w:rPr>
          <w:rFonts w:eastAsia="Times New Roman"/>
          <w:i/>
          <w:color w:val="000000" w:themeColor="text1"/>
        </w:rPr>
        <w:t xml:space="preserve">. </w:t>
      </w:r>
      <w:r w:rsidR="00BC29A7">
        <w:rPr>
          <w:rFonts w:eastAsia="Times New Roman"/>
          <w:color w:val="000000" w:themeColor="text1"/>
        </w:rPr>
        <w:t>The partner’s use of Gain a New Perspective across the diary period interacts with conflict seriousness to predict Depressive Symptoms.</w:t>
      </w:r>
    </w:p>
    <w:p w14:paraId="1BE1E397" w14:textId="3AF79D73" w:rsidR="00086A59" w:rsidRDefault="00086A59" w:rsidP="00E152A7">
      <w:pPr>
        <w:spacing w:line="480" w:lineRule="auto"/>
        <w:outlineLvl w:val="0"/>
        <w:rPr>
          <w:rFonts w:eastAsia="Times New Roman"/>
          <w:color w:val="000000" w:themeColor="text1"/>
        </w:rPr>
      </w:pPr>
      <w:r>
        <w:rPr>
          <w:rFonts w:eastAsia="Times New Roman"/>
          <w:color w:val="000000" w:themeColor="text1"/>
        </w:rPr>
        <w:br w:type="page"/>
      </w:r>
    </w:p>
    <w:p w14:paraId="48601F71" w14:textId="5468A8E1" w:rsidR="00086A59" w:rsidRDefault="00086A59" w:rsidP="00E152A7">
      <w:pPr>
        <w:spacing w:line="480" w:lineRule="auto"/>
        <w:outlineLvl w:val="0"/>
        <w:rPr>
          <w:rFonts w:eastAsia="Times New Roman"/>
          <w:color w:val="000000" w:themeColor="text1"/>
        </w:rPr>
      </w:pPr>
      <w:r>
        <w:rPr>
          <w:noProof/>
          <w:lang w:eastAsia="en-US" w:bidi="he-IL"/>
        </w:rPr>
        <w:lastRenderedPageBreak/>
        <w:drawing>
          <wp:inline distT="0" distB="0" distL="0" distR="0" wp14:anchorId="4E239DC6" wp14:editId="10FD8FF5">
            <wp:extent cx="5922203" cy="3802227"/>
            <wp:effectExtent l="0" t="0" r="21590" b="8255"/>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8AE463E" w14:textId="0492ADE4" w:rsidR="00086A59" w:rsidRPr="00086A59" w:rsidRDefault="00086A59" w:rsidP="00E152A7">
      <w:pPr>
        <w:spacing w:line="480" w:lineRule="auto"/>
        <w:outlineLvl w:val="0"/>
        <w:rPr>
          <w:rFonts w:eastAsia="Times New Roman"/>
          <w:color w:val="000000" w:themeColor="text1"/>
        </w:rPr>
      </w:pPr>
      <w:r>
        <w:rPr>
          <w:rFonts w:eastAsia="Times New Roman"/>
          <w:i/>
          <w:color w:val="000000" w:themeColor="text1"/>
        </w:rPr>
        <w:t xml:space="preserve">Figure 25. </w:t>
      </w:r>
      <w:r w:rsidR="00BC29A7">
        <w:rPr>
          <w:rFonts w:eastAsia="Times New Roman"/>
          <w:color w:val="000000" w:themeColor="text1"/>
        </w:rPr>
        <w:t>The partner’s use of Letting the Conflict Go across the diary period interacts with conflict seriousness to predict Relationship Satisfaction.</w:t>
      </w:r>
    </w:p>
    <w:sectPr w:rsidR="00086A59" w:rsidRPr="00086A59" w:rsidSect="00591A5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5444BC" w16cid:durableId="209E38C3"/>
  <w16cid:commentId w16cid:paraId="08BAC1CF" w16cid:durableId="209E424A"/>
  <w16cid:commentId w16cid:paraId="7946A523" w16cid:durableId="209E4D3C"/>
  <w16cid:commentId w16cid:paraId="3221F11E" w16cid:durableId="209E5471"/>
  <w16cid:commentId w16cid:paraId="34AB130B" w16cid:durableId="209E55DF"/>
  <w16cid:commentId w16cid:paraId="35D1C3C5" w16cid:durableId="209E57E9"/>
  <w16cid:commentId w16cid:paraId="142660B4" w16cid:durableId="209E58A9"/>
  <w16cid:commentId w16cid:paraId="407A0AC5" w16cid:durableId="209E58C2"/>
  <w16cid:commentId w16cid:paraId="4E76B676" w16cid:durableId="209E625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113C67"/>
    <w:multiLevelType w:val="hybridMultilevel"/>
    <w:tmpl w:val="236A23F6"/>
    <w:lvl w:ilvl="0" w:tplc="BCA48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D0F5BBC"/>
    <w:multiLevelType w:val="hybridMultilevel"/>
    <w:tmpl w:val="EDAEA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FC75B3"/>
    <w:multiLevelType w:val="hybridMultilevel"/>
    <w:tmpl w:val="328C7692"/>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CAD"/>
    <w:rsid w:val="00006440"/>
    <w:rsid w:val="00014391"/>
    <w:rsid w:val="00015F8C"/>
    <w:rsid w:val="00022750"/>
    <w:rsid w:val="0002669A"/>
    <w:rsid w:val="00040263"/>
    <w:rsid w:val="00042EB1"/>
    <w:rsid w:val="00050473"/>
    <w:rsid w:val="00072807"/>
    <w:rsid w:val="00075541"/>
    <w:rsid w:val="00086A59"/>
    <w:rsid w:val="000C1DCF"/>
    <w:rsid w:val="000D14C6"/>
    <w:rsid w:val="000F0723"/>
    <w:rsid w:val="000F112A"/>
    <w:rsid w:val="000F30EC"/>
    <w:rsid w:val="0011279A"/>
    <w:rsid w:val="001153CE"/>
    <w:rsid w:val="00135022"/>
    <w:rsid w:val="00143535"/>
    <w:rsid w:val="00161B3C"/>
    <w:rsid w:val="001622D0"/>
    <w:rsid w:val="00164C60"/>
    <w:rsid w:val="00172F60"/>
    <w:rsid w:val="00174E02"/>
    <w:rsid w:val="001838F8"/>
    <w:rsid w:val="001A6241"/>
    <w:rsid w:val="00212D68"/>
    <w:rsid w:val="002207B4"/>
    <w:rsid w:val="00235035"/>
    <w:rsid w:val="002414AC"/>
    <w:rsid w:val="00275117"/>
    <w:rsid w:val="00281CBF"/>
    <w:rsid w:val="002C6F67"/>
    <w:rsid w:val="002C709F"/>
    <w:rsid w:val="002E6B69"/>
    <w:rsid w:val="00301614"/>
    <w:rsid w:val="00301EC3"/>
    <w:rsid w:val="00312C9D"/>
    <w:rsid w:val="00313C0D"/>
    <w:rsid w:val="00314F45"/>
    <w:rsid w:val="00324823"/>
    <w:rsid w:val="00350D83"/>
    <w:rsid w:val="00356097"/>
    <w:rsid w:val="003744A4"/>
    <w:rsid w:val="003B036B"/>
    <w:rsid w:val="003B5939"/>
    <w:rsid w:val="003B7454"/>
    <w:rsid w:val="003D160E"/>
    <w:rsid w:val="003E23F4"/>
    <w:rsid w:val="003E6934"/>
    <w:rsid w:val="003E7483"/>
    <w:rsid w:val="00407AEE"/>
    <w:rsid w:val="004208E6"/>
    <w:rsid w:val="0044672E"/>
    <w:rsid w:val="00457D0E"/>
    <w:rsid w:val="004A2989"/>
    <w:rsid w:val="004A3534"/>
    <w:rsid w:val="004B4994"/>
    <w:rsid w:val="004D07C4"/>
    <w:rsid w:val="004E3BA0"/>
    <w:rsid w:val="004F36D9"/>
    <w:rsid w:val="00504FE7"/>
    <w:rsid w:val="005062B8"/>
    <w:rsid w:val="00515F33"/>
    <w:rsid w:val="0051696F"/>
    <w:rsid w:val="0056535A"/>
    <w:rsid w:val="00573330"/>
    <w:rsid w:val="00575DAF"/>
    <w:rsid w:val="005813C6"/>
    <w:rsid w:val="00582A2A"/>
    <w:rsid w:val="00591A55"/>
    <w:rsid w:val="00594B12"/>
    <w:rsid w:val="005C0150"/>
    <w:rsid w:val="005C09A2"/>
    <w:rsid w:val="005D061F"/>
    <w:rsid w:val="005D1B30"/>
    <w:rsid w:val="005D26AD"/>
    <w:rsid w:val="005D5EA0"/>
    <w:rsid w:val="005D6A36"/>
    <w:rsid w:val="005E10D8"/>
    <w:rsid w:val="005E32D8"/>
    <w:rsid w:val="005F1D01"/>
    <w:rsid w:val="005F393C"/>
    <w:rsid w:val="005F3D46"/>
    <w:rsid w:val="005F4E19"/>
    <w:rsid w:val="006446FE"/>
    <w:rsid w:val="006523FF"/>
    <w:rsid w:val="00656DFE"/>
    <w:rsid w:val="00665E6C"/>
    <w:rsid w:val="006A6E3B"/>
    <w:rsid w:val="006B3216"/>
    <w:rsid w:val="006C1D37"/>
    <w:rsid w:val="006D0B5F"/>
    <w:rsid w:val="006D51EF"/>
    <w:rsid w:val="006F264C"/>
    <w:rsid w:val="006F604A"/>
    <w:rsid w:val="0073236F"/>
    <w:rsid w:val="00740279"/>
    <w:rsid w:val="007608BD"/>
    <w:rsid w:val="007610DE"/>
    <w:rsid w:val="00785F52"/>
    <w:rsid w:val="00797962"/>
    <w:rsid w:val="007F5B19"/>
    <w:rsid w:val="007F64F3"/>
    <w:rsid w:val="0081040E"/>
    <w:rsid w:val="0081328F"/>
    <w:rsid w:val="00853506"/>
    <w:rsid w:val="008558DC"/>
    <w:rsid w:val="0086771F"/>
    <w:rsid w:val="00867CAD"/>
    <w:rsid w:val="00886E40"/>
    <w:rsid w:val="008971AD"/>
    <w:rsid w:val="008A3F93"/>
    <w:rsid w:val="008A6E53"/>
    <w:rsid w:val="008B3EE8"/>
    <w:rsid w:val="008B6314"/>
    <w:rsid w:val="008B6515"/>
    <w:rsid w:val="008E04FE"/>
    <w:rsid w:val="008F1C5C"/>
    <w:rsid w:val="009058B5"/>
    <w:rsid w:val="00924CE8"/>
    <w:rsid w:val="00926EC1"/>
    <w:rsid w:val="00955DF1"/>
    <w:rsid w:val="009864BB"/>
    <w:rsid w:val="009872D7"/>
    <w:rsid w:val="00997623"/>
    <w:rsid w:val="009A0E88"/>
    <w:rsid w:val="009A583B"/>
    <w:rsid w:val="009B1CFF"/>
    <w:rsid w:val="009B23EA"/>
    <w:rsid w:val="009B3378"/>
    <w:rsid w:val="009B670B"/>
    <w:rsid w:val="009B6987"/>
    <w:rsid w:val="009B74A6"/>
    <w:rsid w:val="009B7B74"/>
    <w:rsid w:val="009F200B"/>
    <w:rsid w:val="00A3719B"/>
    <w:rsid w:val="00A4052A"/>
    <w:rsid w:val="00A67ADD"/>
    <w:rsid w:val="00A759BF"/>
    <w:rsid w:val="00A800CA"/>
    <w:rsid w:val="00A87B74"/>
    <w:rsid w:val="00A96C0B"/>
    <w:rsid w:val="00AB2E39"/>
    <w:rsid w:val="00AB70FE"/>
    <w:rsid w:val="00AC5F90"/>
    <w:rsid w:val="00AD2427"/>
    <w:rsid w:val="00AE4AE2"/>
    <w:rsid w:val="00AE7DB3"/>
    <w:rsid w:val="00AF00C8"/>
    <w:rsid w:val="00AF5874"/>
    <w:rsid w:val="00AF6138"/>
    <w:rsid w:val="00B1346F"/>
    <w:rsid w:val="00B30AFA"/>
    <w:rsid w:val="00B31B32"/>
    <w:rsid w:val="00B36986"/>
    <w:rsid w:val="00B47FDB"/>
    <w:rsid w:val="00B620D3"/>
    <w:rsid w:val="00B77ACD"/>
    <w:rsid w:val="00B91854"/>
    <w:rsid w:val="00B94801"/>
    <w:rsid w:val="00B9524D"/>
    <w:rsid w:val="00B95AF7"/>
    <w:rsid w:val="00BB45BF"/>
    <w:rsid w:val="00BC01C6"/>
    <w:rsid w:val="00BC29A7"/>
    <w:rsid w:val="00BE399D"/>
    <w:rsid w:val="00C03EC9"/>
    <w:rsid w:val="00C044DB"/>
    <w:rsid w:val="00C1029B"/>
    <w:rsid w:val="00C23004"/>
    <w:rsid w:val="00C31BEE"/>
    <w:rsid w:val="00C42BA7"/>
    <w:rsid w:val="00C45ED5"/>
    <w:rsid w:val="00C6093B"/>
    <w:rsid w:val="00C806E8"/>
    <w:rsid w:val="00C86641"/>
    <w:rsid w:val="00CA135E"/>
    <w:rsid w:val="00CA448B"/>
    <w:rsid w:val="00CA4AE1"/>
    <w:rsid w:val="00CC39E0"/>
    <w:rsid w:val="00CD2A60"/>
    <w:rsid w:val="00CD33EC"/>
    <w:rsid w:val="00CE66B5"/>
    <w:rsid w:val="00CF26BB"/>
    <w:rsid w:val="00D12CF3"/>
    <w:rsid w:val="00D15DAC"/>
    <w:rsid w:val="00D51630"/>
    <w:rsid w:val="00D60FD2"/>
    <w:rsid w:val="00D93482"/>
    <w:rsid w:val="00D9396A"/>
    <w:rsid w:val="00D93CE2"/>
    <w:rsid w:val="00D944EC"/>
    <w:rsid w:val="00DA4E92"/>
    <w:rsid w:val="00DA69B5"/>
    <w:rsid w:val="00DB1F1B"/>
    <w:rsid w:val="00DB6325"/>
    <w:rsid w:val="00DC1EB1"/>
    <w:rsid w:val="00DC64EE"/>
    <w:rsid w:val="00DC67A4"/>
    <w:rsid w:val="00DE15B4"/>
    <w:rsid w:val="00DE488D"/>
    <w:rsid w:val="00DE51E4"/>
    <w:rsid w:val="00DF0028"/>
    <w:rsid w:val="00DF106D"/>
    <w:rsid w:val="00DF5A52"/>
    <w:rsid w:val="00E152A7"/>
    <w:rsid w:val="00E416BE"/>
    <w:rsid w:val="00E46E6A"/>
    <w:rsid w:val="00E506B0"/>
    <w:rsid w:val="00E533C4"/>
    <w:rsid w:val="00E603E9"/>
    <w:rsid w:val="00E60890"/>
    <w:rsid w:val="00E73820"/>
    <w:rsid w:val="00E76B25"/>
    <w:rsid w:val="00E8261B"/>
    <w:rsid w:val="00E95D52"/>
    <w:rsid w:val="00EB397A"/>
    <w:rsid w:val="00EB3B75"/>
    <w:rsid w:val="00EB4B54"/>
    <w:rsid w:val="00EC53AF"/>
    <w:rsid w:val="00ED23BA"/>
    <w:rsid w:val="00ED3D1A"/>
    <w:rsid w:val="00F11BB4"/>
    <w:rsid w:val="00F276FB"/>
    <w:rsid w:val="00F32D71"/>
    <w:rsid w:val="00F376ED"/>
    <w:rsid w:val="00F50E22"/>
    <w:rsid w:val="00F62EC4"/>
    <w:rsid w:val="00F661FC"/>
    <w:rsid w:val="00F66822"/>
    <w:rsid w:val="00F7249C"/>
    <w:rsid w:val="00F72578"/>
    <w:rsid w:val="00F8030F"/>
    <w:rsid w:val="00F82B79"/>
    <w:rsid w:val="00F9760F"/>
    <w:rsid w:val="00FC629A"/>
    <w:rsid w:val="00FE66AE"/>
    <w:rsid w:val="00FE7C4D"/>
    <w:rsid w:val="00FF3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D256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7CAD"/>
    <w:pPr>
      <w:ind w:left="720"/>
      <w:contextualSpacing/>
    </w:pPr>
  </w:style>
  <w:style w:type="character" w:styleId="CommentReference">
    <w:name w:val="annotation reference"/>
    <w:basedOn w:val="DefaultParagraphFont"/>
    <w:uiPriority w:val="99"/>
    <w:semiHidden/>
    <w:unhideWhenUsed/>
    <w:rsid w:val="0051696F"/>
    <w:rPr>
      <w:sz w:val="18"/>
      <w:szCs w:val="18"/>
    </w:rPr>
  </w:style>
  <w:style w:type="paragraph" w:styleId="CommentText">
    <w:name w:val="annotation text"/>
    <w:basedOn w:val="Normal"/>
    <w:link w:val="CommentTextChar"/>
    <w:uiPriority w:val="99"/>
    <w:semiHidden/>
    <w:unhideWhenUsed/>
    <w:rsid w:val="0051696F"/>
  </w:style>
  <w:style w:type="character" w:customStyle="1" w:styleId="CommentTextChar">
    <w:name w:val="Comment Text Char"/>
    <w:basedOn w:val="DefaultParagraphFont"/>
    <w:link w:val="CommentText"/>
    <w:uiPriority w:val="99"/>
    <w:semiHidden/>
    <w:rsid w:val="0051696F"/>
    <w:rPr>
      <w:rFonts w:eastAsiaTheme="minorEastAsia"/>
      <w:lang w:eastAsia="ja-JP"/>
    </w:rPr>
  </w:style>
  <w:style w:type="paragraph" w:styleId="CommentSubject">
    <w:name w:val="annotation subject"/>
    <w:basedOn w:val="CommentText"/>
    <w:next w:val="CommentText"/>
    <w:link w:val="CommentSubjectChar"/>
    <w:uiPriority w:val="99"/>
    <w:semiHidden/>
    <w:unhideWhenUsed/>
    <w:rsid w:val="0051696F"/>
    <w:rPr>
      <w:b/>
      <w:bCs/>
      <w:sz w:val="20"/>
      <w:szCs w:val="20"/>
    </w:rPr>
  </w:style>
  <w:style w:type="character" w:customStyle="1" w:styleId="CommentSubjectChar">
    <w:name w:val="Comment Subject Char"/>
    <w:basedOn w:val="CommentTextChar"/>
    <w:link w:val="CommentSubject"/>
    <w:uiPriority w:val="99"/>
    <w:semiHidden/>
    <w:rsid w:val="0051696F"/>
    <w:rPr>
      <w:rFonts w:eastAsiaTheme="minorEastAsia"/>
      <w:b/>
      <w:bCs/>
      <w:sz w:val="20"/>
      <w:szCs w:val="20"/>
      <w:lang w:eastAsia="ja-JP"/>
    </w:rPr>
  </w:style>
  <w:style w:type="paragraph" w:styleId="BalloonText">
    <w:name w:val="Balloon Text"/>
    <w:basedOn w:val="Normal"/>
    <w:link w:val="BalloonTextChar"/>
    <w:uiPriority w:val="99"/>
    <w:semiHidden/>
    <w:unhideWhenUsed/>
    <w:rsid w:val="0051696F"/>
    <w:rPr>
      <w:sz w:val="18"/>
      <w:szCs w:val="18"/>
    </w:rPr>
  </w:style>
  <w:style w:type="character" w:customStyle="1" w:styleId="BalloonTextChar">
    <w:name w:val="Balloon Text Char"/>
    <w:basedOn w:val="DefaultParagraphFont"/>
    <w:link w:val="BalloonText"/>
    <w:uiPriority w:val="99"/>
    <w:semiHidden/>
    <w:rsid w:val="0051696F"/>
    <w:rPr>
      <w:rFonts w:eastAsiaTheme="minorEastAsia"/>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chart" Target="charts/chart9.xml"/><Relationship Id="rId18" Type="http://schemas.openxmlformats.org/officeDocument/2006/relationships/chart" Target="charts/chart14.xml"/><Relationship Id="rId26" Type="http://schemas.openxmlformats.org/officeDocument/2006/relationships/chart" Target="charts/chart22.xml"/><Relationship Id="rId3" Type="http://schemas.openxmlformats.org/officeDocument/2006/relationships/settings" Target="settings.xml"/><Relationship Id="rId21" Type="http://schemas.openxmlformats.org/officeDocument/2006/relationships/chart" Target="charts/chart17.xml"/><Relationship Id="rId7" Type="http://schemas.openxmlformats.org/officeDocument/2006/relationships/chart" Target="charts/chart3.xml"/><Relationship Id="rId12" Type="http://schemas.openxmlformats.org/officeDocument/2006/relationships/chart" Target="charts/chart8.xml"/><Relationship Id="rId17" Type="http://schemas.openxmlformats.org/officeDocument/2006/relationships/chart" Target="charts/chart13.xml"/><Relationship Id="rId25" Type="http://schemas.openxmlformats.org/officeDocument/2006/relationships/chart" Target="charts/chart21.xml"/><Relationship Id="rId2" Type="http://schemas.openxmlformats.org/officeDocument/2006/relationships/styles" Target="styles.xml"/><Relationship Id="rId16" Type="http://schemas.openxmlformats.org/officeDocument/2006/relationships/chart" Target="charts/chart12.xml"/><Relationship Id="rId20" Type="http://schemas.openxmlformats.org/officeDocument/2006/relationships/chart" Target="charts/chart16.xml"/><Relationship Id="rId29" Type="http://schemas.openxmlformats.org/officeDocument/2006/relationships/chart" Target="charts/chart25.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chart" Target="charts/chart7.xml"/><Relationship Id="rId24" Type="http://schemas.openxmlformats.org/officeDocument/2006/relationships/chart" Target="charts/chart20.xml"/><Relationship Id="rId32" Type="http://schemas.microsoft.com/office/2016/09/relationships/commentsIds" Target="commentsIds.xml"/><Relationship Id="rId5" Type="http://schemas.openxmlformats.org/officeDocument/2006/relationships/chart" Target="charts/chart1.xml"/><Relationship Id="rId15" Type="http://schemas.openxmlformats.org/officeDocument/2006/relationships/chart" Target="charts/chart11.xml"/><Relationship Id="rId23" Type="http://schemas.openxmlformats.org/officeDocument/2006/relationships/chart" Target="charts/chart19.xml"/><Relationship Id="rId28" Type="http://schemas.openxmlformats.org/officeDocument/2006/relationships/chart" Target="charts/chart24.xml"/><Relationship Id="rId10" Type="http://schemas.openxmlformats.org/officeDocument/2006/relationships/chart" Target="charts/chart6.xml"/><Relationship Id="rId19" Type="http://schemas.openxmlformats.org/officeDocument/2006/relationships/chart" Target="charts/chart15.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5.xml"/><Relationship Id="rId14" Type="http://schemas.openxmlformats.org/officeDocument/2006/relationships/chart" Target="charts/chart10.xml"/><Relationship Id="rId22" Type="http://schemas.openxmlformats.org/officeDocument/2006/relationships/chart" Target="charts/chart18.xml"/><Relationship Id="rId27" Type="http://schemas.openxmlformats.org/officeDocument/2006/relationships/chart" Target="charts/chart23.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Users\Julie\Desktop\Paper%205%20New%20Interactions\Global%20Satisfaction\Sat%20x%20pAvoidance%20Predict%20UA.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1" Type="http://schemas.openxmlformats.org/officeDocument/2006/relationships/oleObject" Target="file:///\\Users\Julie\Desktop\Paper%205%20New%20Interactions\Number%20of%20Conflicts\Conflicts%20x%20pGainPerspective%20Predict%20PosAff.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Users\Julie\Desktop\Paper%205%20New%20Interactions\Number%20of%20Conflicts\NumConflicts%20x%20aLetGo%20Between%20Predict%20Dep.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Users\Julie\Desktop\Paper%205%20New%20Interactions\Number%20of%20Conflicts\Conflicts%20x%20pLetGo%20Predict%20NegAff.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Users\Julie\Desktop\Paper%205%20New%20Interactions\Seriousness\Seriousness%20x%20aAvoidance%20Predict%20Dep.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Users\Julie\Desktop\Paper%205%20New%20Interactions\Seriousness\Seriousness%20x%20pAvoidance%20Predict%20Sat.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Users\Julie\Desktop\Paper%205%20New%20Interactions\Seriousness\Seriousness%20x%20pAvoidance%20Predict%20Dep.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Users\Julie\Desktop\Paper%205%20New%20Interactions\Seriousness\Seriousness%20x%20pAvoidance%20Between%20Predict%20UA.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Users\Julie\Desktop\Paper%205%20New%20Interactions\Seriousness\Seriousness%20x%20pAvoidance%20Between%20Predict%20Sat.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Users\Julie\Desktop\Paper%205%20New%20Interactions\Seriousness\Seriousness%20x%20pAvoidance%20Between%20Predict%20Dep.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Users\Julie\Desktop\Paper%205%20New%20Interactions\Seriousness\Seriousness%20x%20aActiveRepair%20Predict%20PosAff.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Users\Julie\Desktop\Paper%205%20New%20Interactions\Global%20Satisfaction\Sat%20x%20pActive%20Repair%20Predict%20UA.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Users\Julie\Desktop\Paper%205%20New%20Interactions\Seriousness\Seriousness%20x%20pActiveRepair%20Predict%20Sat.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Users\Julie\Desktop\Paper%205%20New%20Interactions\Seriousness\Seriousness%20x%20pActiveRepair%20Between%20Predict%20PosAff.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Users\Julie\Desktop\Paper%205%20New%20Interactions\Seriousness\Seriousness%20x%20pActiveRepair%20Between%20Predict%20Sat.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Users\Julie\Desktop\Paper%205%20New%20Interactions\Seriousness\Seriousness%20x%20pGainPerspective%20Predict%20Dep.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Users\Julie\Desktop\Paper%205%20New%20Interactions\Seriousness\Seriousness%20x%20pGainPerspective%20Between%20Predict%20Dep.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Users\Julie\Desktop\Paper%205%20New%20Interactions\Seriousness\Seriousness%20x%20pLetGo%20Between%20Predict%20Sa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Users\Julie\Desktop\Paper%205%20New%20Interactions\Global%20Satisfaction\Sat%20x%20pActiveRepair%20Between%20Predict%20NegAff.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Users\Julie\Desktop\Paper%205%20New%20Interactions\Global%20Satisfaction\Sat%20x%20pLetGo%20Predict%20Dep.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Users\Julie\Desktop\Paper%205%20New%20Interactions\Number%20of%20Conflicts\NumConflicts%20x%20aAvoidance%20Between%20Predict%20PosAff.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Users\Julie\Desktop\Paper%205%20New%20Interactions\Number%20of%20Conflicts\NumConflicts%20x%20aAvoidance%20Between%20Predict%20Dep.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Users\Julie\Desktop\Paper%205%20New%20Interactions\Number%20of%20Conflicts\Conflicts%20x%20aActiveRepair%20Predict%20UA.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Users\Julie\Desktop\Paper%205%20New%20Interactions\Number%20of%20Conflicts\Conflicts%20x%20aGainPerspective%20Predict%20Sat.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Users\Julie\Desktop\Paper%205%20New%20Interactions\Number%20of%20Conflicts\NumConflicts%20x%20aGainPerspective%20Between%20Predict%20U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clustered"/>
        <c:varyColors val="0"/>
        <c:ser>
          <c:idx val="0"/>
          <c:order val="0"/>
          <c:tx>
            <c:strRef>
              <c:f>Sheet1!$F$13</c:f>
              <c:strCache>
                <c:ptCount val="1"/>
                <c:pt idx="0">
                  <c:v>Low Global Satisfaction</c:v>
                </c:pt>
              </c:strCache>
            </c:strRef>
          </c:tx>
          <c:spPr>
            <a:solidFill>
              <a:schemeClr val="tx1"/>
            </a:solidFill>
            <a:ln>
              <a:noFill/>
            </a:ln>
            <a:effectLst>
              <a:outerShdw blurRad="40000" dist="23000" dir="5400000" rotWithShape="0">
                <a:srgbClr val="000000">
                  <a:alpha val="35000"/>
                </a:srgbClr>
              </a:outerShdw>
            </a:effectLst>
          </c:spPr>
          <c:invertIfNegative val="0"/>
          <c:errBars>
            <c:errBarType val="both"/>
            <c:errValType val="cust"/>
            <c:noEndCap val="0"/>
            <c:plus>
              <c:numRef>
                <c:f>Sheet1!$B$10</c:f>
                <c:numCache>
                  <c:formatCode>General</c:formatCode>
                  <c:ptCount val="1"/>
                  <c:pt idx="0">
                    <c:v>0.83074800000000004</c:v>
                  </c:pt>
                </c:numCache>
              </c:numRef>
            </c:plus>
            <c:minus>
              <c:numRef>
                <c:f>Sheet1!$B$10</c:f>
                <c:numCache>
                  <c:formatCode>General</c:formatCode>
                  <c:ptCount val="1"/>
                  <c:pt idx="0">
                    <c:v>0.83074800000000004</c:v>
                  </c:pt>
                </c:numCache>
              </c:numRef>
            </c:minus>
            <c:spPr>
              <a:solidFill>
                <a:schemeClr val="tx1"/>
              </a:solidFill>
              <a:ln w="9525" cap="flat" cmpd="sng" algn="ctr">
                <a:solidFill>
                  <a:schemeClr val="tx1">
                    <a:shade val="95000"/>
                    <a:satMod val="105000"/>
                  </a:schemeClr>
                </a:solidFill>
                <a:prstDash val="solid"/>
                <a:round/>
              </a:ln>
              <a:effectLst/>
            </c:spPr>
          </c:errBars>
          <c:cat>
            <c:numRef>
              <c:f>Sheet1!$E$14:$E$15</c:f>
              <c:numCache>
                <c:formatCode>General</c:formatCode>
                <c:ptCount val="2"/>
                <c:pt idx="0">
                  <c:v>0</c:v>
                </c:pt>
                <c:pt idx="1">
                  <c:v>1</c:v>
                </c:pt>
              </c:numCache>
            </c:numRef>
          </c:cat>
          <c:val>
            <c:numRef>
              <c:f>Sheet1!$F$14:$F$15</c:f>
              <c:numCache>
                <c:formatCode>General</c:formatCode>
                <c:ptCount val="2"/>
                <c:pt idx="0">
                  <c:v>13.562215999999999</c:v>
                </c:pt>
                <c:pt idx="1">
                  <c:v>13.271051</c:v>
                </c:pt>
              </c:numCache>
            </c:numRef>
          </c:val>
          <c:extLst xmlns:c16r2="http://schemas.microsoft.com/office/drawing/2015/06/chart">
            <c:ext xmlns:c16="http://schemas.microsoft.com/office/drawing/2014/chart" uri="{C3380CC4-5D6E-409C-BE32-E72D297353CC}">
              <c16:uniqueId val="{00000000-BFB3-479A-A192-F5F95C036A41}"/>
            </c:ext>
          </c:extLst>
        </c:ser>
        <c:ser>
          <c:idx val="1"/>
          <c:order val="1"/>
          <c:tx>
            <c:strRef>
              <c:f>Sheet1!$G$13</c:f>
              <c:strCache>
                <c:ptCount val="1"/>
                <c:pt idx="0">
                  <c:v>High Global Satisfaction</c:v>
                </c:pt>
              </c:strCache>
            </c:strRef>
          </c:tx>
          <c:spPr>
            <a:pattFill prst="pct50">
              <a:fgClr>
                <a:schemeClr val="tx1"/>
              </a:fgClr>
              <a:bgClr>
                <a:schemeClr val="bg1"/>
              </a:bgClr>
            </a:pattFill>
            <a:ln>
              <a:noFill/>
            </a:ln>
            <a:effectLst>
              <a:outerShdw blurRad="40000" dist="23000" dir="5400000" rotWithShape="0">
                <a:srgbClr val="000000">
                  <a:alpha val="35000"/>
                </a:srgbClr>
              </a:outerShdw>
            </a:effectLst>
          </c:spPr>
          <c:invertIfNegative val="0"/>
          <c:errBars>
            <c:errBarType val="both"/>
            <c:errValType val="cust"/>
            <c:noEndCap val="0"/>
            <c:plus>
              <c:numRef>
                <c:f>Sheet1!$B$7</c:f>
                <c:numCache>
                  <c:formatCode>General</c:formatCode>
                  <c:ptCount val="1"/>
                  <c:pt idx="0">
                    <c:v>0.72801000000000005</c:v>
                  </c:pt>
                </c:numCache>
              </c:numRef>
            </c:plus>
            <c:minus>
              <c:numRef>
                <c:f>Sheet1!$B$7</c:f>
                <c:numCache>
                  <c:formatCode>General</c:formatCode>
                  <c:ptCount val="1"/>
                  <c:pt idx="0">
                    <c:v>0.72801000000000005</c:v>
                  </c:pt>
                </c:numCache>
              </c:numRef>
            </c:minus>
            <c:spPr>
              <a:solidFill>
                <a:schemeClr val="tx1"/>
              </a:solidFill>
              <a:ln w="9525" cap="flat" cmpd="sng" algn="ctr">
                <a:solidFill>
                  <a:schemeClr val="tx1">
                    <a:shade val="95000"/>
                    <a:satMod val="105000"/>
                  </a:schemeClr>
                </a:solidFill>
                <a:prstDash val="solid"/>
                <a:round/>
              </a:ln>
              <a:effectLst/>
            </c:spPr>
          </c:errBars>
          <c:cat>
            <c:numRef>
              <c:f>Sheet1!$E$14:$E$15</c:f>
              <c:numCache>
                <c:formatCode>General</c:formatCode>
                <c:ptCount val="2"/>
                <c:pt idx="0">
                  <c:v>0</c:v>
                </c:pt>
                <c:pt idx="1">
                  <c:v>1</c:v>
                </c:pt>
              </c:numCache>
            </c:numRef>
          </c:cat>
          <c:val>
            <c:numRef>
              <c:f>Sheet1!$G$14:$G$15</c:f>
              <c:numCache>
                <c:formatCode>General</c:formatCode>
                <c:ptCount val="2"/>
                <c:pt idx="0">
                  <c:v>21.066917</c:v>
                </c:pt>
                <c:pt idx="1">
                  <c:v>18.196299</c:v>
                </c:pt>
              </c:numCache>
            </c:numRef>
          </c:val>
          <c:extLst xmlns:c16r2="http://schemas.microsoft.com/office/drawing/2015/06/chart">
            <c:ext xmlns:c16="http://schemas.microsoft.com/office/drawing/2014/chart" uri="{C3380CC4-5D6E-409C-BE32-E72D297353CC}">
              <c16:uniqueId val="{00000001-BFB3-479A-A192-F5F95C036A41}"/>
            </c:ext>
          </c:extLst>
        </c:ser>
        <c:dLbls>
          <c:showLegendKey val="0"/>
          <c:showVal val="0"/>
          <c:showCatName val="0"/>
          <c:showSerName val="0"/>
          <c:showPercent val="0"/>
          <c:showBubbleSize val="0"/>
        </c:dLbls>
        <c:gapWidth val="150"/>
        <c:axId val="634041352"/>
        <c:axId val="634041744"/>
      </c:barChart>
      <c:catAx>
        <c:axId val="634041352"/>
        <c:scaling>
          <c:orientation val="minMax"/>
        </c:scaling>
        <c:delete val="0"/>
        <c:axPos val="b"/>
        <c:title>
          <c:tx>
            <c:rich>
              <a:bodyPr rot="0" spcFirstLastPara="1" vertOverflow="ellipsis" vert="horz" wrap="square" anchor="ctr" anchorCtr="1"/>
              <a:lstStyle/>
              <a:p>
                <a:pPr>
                  <a:defRPr sz="1200" b="1" i="0" u="none" strike="noStrike" kern="1200" baseline="0">
                    <a:solidFill>
                      <a:schemeClr val="tx1"/>
                    </a:solidFill>
                    <a:latin typeface="Times New Roman"/>
                    <a:ea typeface="+mn-ea"/>
                    <a:cs typeface="Times New Roman"/>
                  </a:defRPr>
                </a:pPr>
                <a:r>
                  <a:rPr lang="en-US" sz="1100"/>
                  <a:t>Partner </a:t>
                </a:r>
                <a:r>
                  <a:rPr lang="en-US" sz="1100" baseline="0"/>
                  <a:t>Uses Avoidance</a:t>
                </a:r>
              </a:p>
            </c:rich>
          </c:tx>
          <c:layout>
            <c:manualLayout>
              <c:xMode val="edge"/>
              <c:yMode val="edge"/>
              <c:x val="0.21349265856444899"/>
              <c:y val="0.92384831401410905"/>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1"/>
                  </a:solidFill>
                  <a:latin typeface="Times New Roman"/>
                  <a:ea typeface="+mn-ea"/>
                  <a:cs typeface="Times New Roman"/>
                </a:defRPr>
              </a:pPr>
              <a:endParaRPr lang="en-US"/>
            </a:p>
          </c:txPr>
        </c:title>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200" b="0" i="0" u="none" strike="noStrike" kern="1200" baseline="0">
                <a:solidFill>
                  <a:schemeClr val="tx1"/>
                </a:solidFill>
                <a:latin typeface="Times New Roman"/>
                <a:ea typeface="+mn-ea"/>
                <a:cs typeface="Times New Roman"/>
              </a:defRPr>
            </a:pPr>
            <a:endParaRPr lang="en-US"/>
          </a:p>
        </c:txPr>
        <c:crossAx val="634041744"/>
        <c:crossesAt val="0"/>
        <c:auto val="1"/>
        <c:lblAlgn val="ctr"/>
        <c:lblOffset val="100"/>
        <c:noMultiLvlLbl val="1"/>
      </c:catAx>
      <c:valAx>
        <c:axId val="634041744"/>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title>
          <c:tx>
            <c:rich>
              <a:bodyPr rot="-5400000" spcFirstLastPara="1" vertOverflow="ellipsis" vert="horz" wrap="square" anchor="ctr" anchorCtr="1"/>
              <a:lstStyle/>
              <a:p>
                <a:pPr>
                  <a:defRPr sz="1200" b="1" i="0" u="none" strike="noStrike" kern="1200" baseline="0">
                    <a:solidFill>
                      <a:schemeClr val="tx1"/>
                    </a:solidFill>
                    <a:latin typeface="Times New Roman"/>
                    <a:ea typeface="+mn-ea"/>
                    <a:cs typeface="Times New Roman"/>
                  </a:defRPr>
                </a:pPr>
                <a:r>
                  <a:rPr lang="en-US"/>
                  <a:t>Actor's Daily Understanding/Appreciation</a:t>
                </a:r>
              </a:p>
            </c:rich>
          </c:tx>
          <c:overlay val="0"/>
          <c:spPr>
            <a:noFill/>
            <a:ln>
              <a:noFill/>
            </a:ln>
            <a:effectLst/>
          </c:spPr>
          <c:txPr>
            <a:bodyPr rot="-5400000" spcFirstLastPara="1" vertOverflow="ellipsis" vert="horz" wrap="square" anchor="ctr" anchorCtr="1"/>
            <a:lstStyle/>
            <a:p>
              <a:pPr>
                <a:defRPr sz="1200" b="1" i="0" u="none" strike="noStrike" kern="1200" baseline="0">
                  <a:solidFill>
                    <a:schemeClr val="tx1"/>
                  </a:solidFill>
                  <a:latin typeface="Times New Roman"/>
                  <a:ea typeface="+mn-ea"/>
                  <a:cs typeface="Times New Roman"/>
                </a:defRPr>
              </a:pPr>
              <a:endParaRPr lang="en-US"/>
            </a:p>
          </c:txPr>
        </c:title>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200" b="0" i="0" u="none" strike="noStrike" kern="1200" baseline="0">
                <a:solidFill>
                  <a:schemeClr val="tx1"/>
                </a:solidFill>
                <a:latin typeface="Times New Roman"/>
                <a:ea typeface="+mn-ea"/>
                <a:cs typeface="Times New Roman"/>
              </a:defRPr>
            </a:pPr>
            <a:endParaRPr lang="en-US"/>
          </a:p>
        </c:txPr>
        <c:crossAx val="634041352"/>
        <c:crosses val="autoZero"/>
        <c:crossBetween val="between"/>
      </c:valAx>
      <c:spPr>
        <a:solidFill>
          <a:schemeClr val="bg1"/>
        </a:solidFill>
        <a:ln>
          <a:noFill/>
        </a:ln>
        <a:effectLst/>
      </c:spPr>
    </c:plotArea>
    <c:legend>
      <c:legendPos val="r"/>
      <c:layout>
        <c:manualLayout>
          <c:xMode val="edge"/>
          <c:yMode val="edge"/>
          <c:x val="0.65088852354409199"/>
          <c:y val="0.34753665791776001"/>
          <c:w val="0.34911147645590801"/>
          <c:h val="0.21442819061660401"/>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a:ea typeface="+mn-ea"/>
              <a:cs typeface="Times New Roman"/>
            </a:defRPr>
          </a:pPr>
          <a:endParaRPr lang="en-US"/>
        </a:p>
      </c:txPr>
    </c:legend>
    <c:plotVisOnly val="1"/>
    <c:dispBlanksAs val="gap"/>
    <c:showDLblsOverMax val="0"/>
  </c:chart>
  <c:spPr>
    <a:solidFill>
      <a:schemeClr val="bg1"/>
    </a:solidFill>
    <a:ln w="6350" cap="flat" cmpd="sng" algn="ctr">
      <a:solidFill>
        <a:schemeClr val="tx1">
          <a:tint val="75000"/>
        </a:schemeClr>
      </a:solidFill>
      <a:prstDash val="solid"/>
      <a:round/>
    </a:ln>
    <a:effectLst/>
  </c:spPr>
  <c:txPr>
    <a:bodyPr/>
    <a:lstStyle/>
    <a:p>
      <a:pPr>
        <a:defRPr sz="1200">
          <a:latin typeface="Times New Roman"/>
          <a:cs typeface="Times New Roman"/>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Few Conflicts Across Diary Period</c:v>
                </c:pt>
              </c:strCache>
            </c:strRef>
          </c:tx>
          <c:spPr>
            <a:solidFill>
              <a:schemeClr val="tx1"/>
            </a:solidFill>
            <a:ln>
              <a:solidFill>
                <a:schemeClr val="bg1">
                  <a:lumMod val="65000"/>
                </a:schemeClr>
              </a:solidFill>
              <a:prstDash val="sysDash"/>
            </a:ln>
          </c:spPr>
          <c:invertIfNegative val="0"/>
          <c:errBars>
            <c:errBarType val="both"/>
            <c:errValType val="cust"/>
            <c:noEndCap val="0"/>
            <c:plus>
              <c:numRef>
                <c:f>Sheet1!$B$10</c:f>
                <c:numCache>
                  <c:formatCode>General</c:formatCode>
                  <c:ptCount val="1"/>
                  <c:pt idx="0">
                    <c:v>0.84779199999999999</c:v>
                  </c:pt>
                </c:numCache>
              </c:numRef>
            </c:plus>
            <c:minus>
              <c:numRef>
                <c:f>Sheet1!$B$10</c:f>
                <c:numCache>
                  <c:formatCode>General</c:formatCode>
                  <c:ptCount val="1"/>
                  <c:pt idx="0">
                    <c:v>0.84779199999999999</c:v>
                  </c:pt>
                </c:numCache>
              </c:numRef>
            </c:minus>
          </c:errBars>
          <c:cat>
            <c:numRef>
              <c:f>Sheet1!$E$14:$E$15</c:f>
              <c:numCache>
                <c:formatCode>General</c:formatCode>
                <c:ptCount val="2"/>
                <c:pt idx="0">
                  <c:v>0</c:v>
                </c:pt>
                <c:pt idx="1">
                  <c:v>1</c:v>
                </c:pt>
              </c:numCache>
            </c:numRef>
          </c:cat>
          <c:val>
            <c:numRef>
              <c:f>Sheet1!$F$14:$F$15</c:f>
              <c:numCache>
                <c:formatCode>General</c:formatCode>
                <c:ptCount val="2"/>
                <c:pt idx="0">
                  <c:v>18.834523000000001</c:v>
                </c:pt>
                <c:pt idx="1">
                  <c:v>15.944528999999999</c:v>
                </c:pt>
              </c:numCache>
            </c:numRef>
          </c:val>
          <c:extLst xmlns:c16r2="http://schemas.microsoft.com/office/drawing/2015/06/chart">
            <c:ext xmlns:c16="http://schemas.microsoft.com/office/drawing/2014/chart" uri="{C3380CC4-5D6E-409C-BE32-E72D297353CC}">
              <c16:uniqueId val="{00000000-F28E-4F72-9B8C-8B198B6F3429}"/>
            </c:ext>
          </c:extLst>
        </c:ser>
        <c:ser>
          <c:idx val="1"/>
          <c:order val="1"/>
          <c:tx>
            <c:strRef>
              <c:f>Sheet1!$G$13</c:f>
              <c:strCache>
                <c:ptCount val="1"/>
                <c:pt idx="0">
                  <c:v>Many Conflicts Across Diary Period</c:v>
                </c:pt>
              </c:strCache>
            </c:strRef>
          </c:tx>
          <c:spPr>
            <a:pattFill prst="pct50">
              <a:fgClr>
                <a:schemeClr val="tx1"/>
              </a:fgClr>
              <a:bgClr>
                <a:schemeClr val="bg1"/>
              </a:bgClr>
            </a:pattFill>
            <a:ln>
              <a:solidFill>
                <a:schemeClr val="tx1"/>
              </a:solidFill>
              <a:prstDash val="solid"/>
            </a:ln>
          </c:spPr>
          <c:invertIfNegative val="0"/>
          <c:errBars>
            <c:errBarType val="both"/>
            <c:errValType val="cust"/>
            <c:noEndCap val="0"/>
            <c:plus>
              <c:numRef>
                <c:f>Sheet1!$B$7</c:f>
                <c:numCache>
                  <c:formatCode>General</c:formatCode>
                  <c:ptCount val="1"/>
                  <c:pt idx="0">
                    <c:v>1.8016209999999999</c:v>
                  </c:pt>
                </c:numCache>
              </c:numRef>
            </c:plus>
            <c:minus>
              <c:numRef>
                <c:f>Sheet1!$B$7</c:f>
                <c:numCache>
                  <c:formatCode>General</c:formatCode>
                  <c:ptCount val="1"/>
                  <c:pt idx="0">
                    <c:v>1.8016209999999999</c:v>
                  </c:pt>
                </c:numCache>
              </c:numRef>
            </c:minus>
          </c:errBars>
          <c:cat>
            <c:numRef>
              <c:f>Sheet1!$E$14:$E$15</c:f>
              <c:numCache>
                <c:formatCode>General</c:formatCode>
                <c:ptCount val="2"/>
                <c:pt idx="0">
                  <c:v>0</c:v>
                </c:pt>
                <c:pt idx="1">
                  <c:v>1</c:v>
                </c:pt>
              </c:numCache>
            </c:numRef>
          </c:cat>
          <c:val>
            <c:numRef>
              <c:f>Sheet1!$G$14:$G$15</c:f>
              <c:numCache>
                <c:formatCode>General</c:formatCode>
                <c:ptCount val="2"/>
                <c:pt idx="0">
                  <c:v>12.478083</c:v>
                </c:pt>
                <c:pt idx="1">
                  <c:v>12.674804</c:v>
                </c:pt>
              </c:numCache>
            </c:numRef>
          </c:val>
          <c:extLst xmlns:c16r2="http://schemas.microsoft.com/office/drawing/2015/06/chart">
            <c:ext xmlns:c16="http://schemas.microsoft.com/office/drawing/2014/chart" uri="{C3380CC4-5D6E-409C-BE32-E72D297353CC}">
              <c16:uniqueId val="{00000001-F28E-4F72-9B8C-8B198B6F3429}"/>
            </c:ext>
          </c:extLst>
        </c:ser>
        <c:dLbls>
          <c:showLegendKey val="0"/>
          <c:showVal val="0"/>
          <c:showCatName val="0"/>
          <c:showSerName val="0"/>
          <c:showPercent val="0"/>
          <c:showBubbleSize val="0"/>
        </c:dLbls>
        <c:gapWidth val="150"/>
        <c:axId val="332324608"/>
        <c:axId val="634778632"/>
      </c:barChart>
      <c:catAx>
        <c:axId val="332324608"/>
        <c:scaling>
          <c:orientation val="minMax"/>
        </c:scaling>
        <c:delete val="0"/>
        <c:axPos val="b"/>
        <c:title>
          <c:tx>
            <c:rich>
              <a:bodyPr/>
              <a:lstStyle/>
              <a:p>
                <a:pPr>
                  <a:defRPr/>
                </a:pPr>
                <a:r>
                  <a:rPr lang="en-US" sz="1100"/>
                  <a:t>Partner Uses Gain Perspective</a:t>
                </a:r>
                <a:endParaRPr lang="en-US" sz="1100" baseline="0"/>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4778632"/>
        <c:crossesAt val="0"/>
        <c:auto val="1"/>
        <c:lblAlgn val="ctr"/>
        <c:lblOffset val="100"/>
        <c:noMultiLvlLbl val="1"/>
      </c:catAx>
      <c:valAx>
        <c:axId val="634778632"/>
        <c:scaling>
          <c:orientation val="minMax"/>
        </c:scaling>
        <c:delete val="0"/>
        <c:axPos val="l"/>
        <c:majorGridlines/>
        <c:title>
          <c:tx>
            <c:rich>
              <a:bodyPr rot="-5400000" vert="horz"/>
              <a:lstStyle/>
              <a:p>
                <a:pPr>
                  <a:defRPr/>
                </a:pPr>
                <a:r>
                  <a:rPr lang="en-US"/>
                  <a:t>Actor's Daily Positive Affect</a:t>
                </a:r>
              </a:p>
            </c:rich>
          </c:tx>
          <c:overlay val="0"/>
        </c:title>
        <c:numFmt formatCode="General" sourceLinked="1"/>
        <c:majorTickMark val="out"/>
        <c:minorTickMark val="none"/>
        <c:tickLblPos val="nextTo"/>
        <c:crossAx val="332324608"/>
        <c:crosses val="autoZero"/>
        <c:crossBetween val="between"/>
      </c:valAx>
    </c:plotArea>
    <c:legend>
      <c:legendPos val="r"/>
      <c:layout>
        <c:manualLayout>
          <c:xMode val="edge"/>
          <c:yMode val="edge"/>
          <c:x val="0.64846799779065101"/>
          <c:y val="0.34753665791776001"/>
          <c:w val="0.35153200220934899"/>
          <c:h val="0.25110300082380499"/>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0.11582294629211499"/>
          <c:y val="4.3421920890046803E-2"/>
          <c:w val="0.50426234966953998"/>
          <c:h val="0.79743660754605095"/>
        </c:manualLayout>
      </c:layout>
      <c:scatterChart>
        <c:scatterStyle val="lineMarker"/>
        <c:varyColors val="0"/>
        <c:ser>
          <c:idx val="0"/>
          <c:order val="0"/>
          <c:tx>
            <c:strRef>
              <c:f>Sheet1!$F$13</c:f>
              <c:strCache>
                <c:ptCount val="1"/>
                <c:pt idx="0">
                  <c:v>Few Conflicts Across Diary</c:v>
                </c:pt>
              </c:strCache>
            </c:strRef>
          </c:tx>
          <c:spPr>
            <a:ln>
              <a:solidFill>
                <a:schemeClr val="bg1">
                  <a:lumMod val="65000"/>
                </a:schemeClr>
              </a:solidFill>
              <a:prstDash val="sysDash"/>
            </a:ln>
          </c:spPr>
          <c:marker>
            <c:symbol val="none"/>
          </c:marker>
          <c:errBars>
            <c:errDir val="y"/>
            <c:errBarType val="both"/>
            <c:errValType val="cust"/>
            <c:noEndCap val="0"/>
            <c:plus>
              <c:numRef>
                <c:f>Sheet1!$B$10</c:f>
                <c:numCache>
                  <c:formatCode>General</c:formatCode>
                  <c:ptCount val="1"/>
                  <c:pt idx="0">
                    <c:v>0.194774</c:v>
                  </c:pt>
                </c:numCache>
              </c:numRef>
            </c:plus>
            <c:minus>
              <c:numRef>
                <c:f>Sheet1!$B$10</c:f>
                <c:numCache>
                  <c:formatCode>General</c:formatCode>
                  <c:ptCount val="1"/>
                  <c:pt idx="0">
                    <c:v>0.194774</c:v>
                  </c:pt>
                </c:numCache>
              </c:numRef>
            </c:minus>
          </c:errBars>
          <c:xVal>
            <c:numRef>
              <c:f>Sheet1!$E$14:$E$15</c:f>
              <c:numCache>
                <c:formatCode>General</c:formatCode>
                <c:ptCount val="2"/>
                <c:pt idx="0">
                  <c:v>0</c:v>
                </c:pt>
                <c:pt idx="1">
                  <c:v>10</c:v>
                </c:pt>
              </c:numCache>
            </c:numRef>
          </c:xVal>
          <c:yVal>
            <c:numRef>
              <c:f>Sheet1!$F$14:$F$15</c:f>
              <c:numCache>
                <c:formatCode>General</c:formatCode>
                <c:ptCount val="2"/>
                <c:pt idx="0">
                  <c:v>5.8024079999999856</c:v>
                </c:pt>
                <c:pt idx="1">
                  <c:v>-3.198792000000001</c:v>
                </c:pt>
              </c:numCache>
            </c:numRef>
          </c:yVal>
          <c:smooth val="0"/>
          <c:extLst xmlns:c16r2="http://schemas.microsoft.com/office/drawing/2015/06/chart">
            <c:ext xmlns:c16="http://schemas.microsoft.com/office/drawing/2014/chart" uri="{C3380CC4-5D6E-409C-BE32-E72D297353CC}">
              <c16:uniqueId val="{00000000-DB83-40B7-8DF5-890CF40BEF53}"/>
            </c:ext>
          </c:extLst>
        </c:ser>
        <c:ser>
          <c:idx val="1"/>
          <c:order val="1"/>
          <c:tx>
            <c:strRef>
              <c:f>Sheet1!$G$13</c:f>
              <c:strCache>
                <c:ptCount val="1"/>
                <c:pt idx="0">
                  <c:v>Many Conflicts Across Diary</c:v>
                </c:pt>
              </c:strCache>
            </c:strRef>
          </c:tx>
          <c:spPr>
            <a:ln>
              <a:solidFill>
                <a:schemeClr val="tx1"/>
              </a:solidFill>
              <a:prstDash val="solid"/>
            </a:ln>
          </c:spPr>
          <c:marker>
            <c:symbol val="none"/>
          </c:marker>
          <c:errBars>
            <c:errDir val="y"/>
            <c:errBarType val="both"/>
            <c:errValType val="cust"/>
            <c:noEndCap val="0"/>
            <c:plus>
              <c:numRef>
                <c:f>Sheet1!$B$7</c:f>
                <c:numCache>
                  <c:formatCode>General</c:formatCode>
                  <c:ptCount val="1"/>
                  <c:pt idx="0">
                    <c:v>0.49179</c:v>
                  </c:pt>
                </c:numCache>
              </c:numRef>
            </c:plus>
            <c:minus>
              <c:numRef>
                <c:f>Sheet1!$B$7</c:f>
                <c:numCache>
                  <c:formatCode>General</c:formatCode>
                  <c:ptCount val="1"/>
                  <c:pt idx="0">
                    <c:v>0.49179</c:v>
                  </c:pt>
                </c:numCache>
              </c:numRef>
            </c:minus>
          </c:errBars>
          <c:xVal>
            <c:numRef>
              <c:f>Sheet1!$E$14:$E$15</c:f>
              <c:numCache>
                <c:formatCode>General</c:formatCode>
                <c:ptCount val="2"/>
                <c:pt idx="0">
                  <c:v>0</c:v>
                </c:pt>
                <c:pt idx="1">
                  <c:v>10</c:v>
                </c:pt>
              </c:numCache>
            </c:numRef>
          </c:xVal>
          <c:yVal>
            <c:numRef>
              <c:f>Sheet1!$G$14:$G$15</c:f>
              <c:numCache>
                <c:formatCode>General</c:formatCode>
                <c:ptCount val="2"/>
                <c:pt idx="0">
                  <c:v>4.2500669999999996</c:v>
                </c:pt>
                <c:pt idx="1">
                  <c:v>3.7182270000000002</c:v>
                </c:pt>
              </c:numCache>
            </c:numRef>
          </c:yVal>
          <c:smooth val="0"/>
          <c:extLst xmlns:c16r2="http://schemas.microsoft.com/office/drawing/2015/06/chart">
            <c:ext xmlns:c16="http://schemas.microsoft.com/office/drawing/2014/chart" uri="{C3380CC4-5D6E-409C-BE32-E72D297353CC}">
              <c16:uniqueId val="{00000001-DB83-40B7-8DF5-890CF40BEF53}"/>
            </c:ext>
          </c:extLst>
        </c:ser>
        <c:dLbls>
          <c:showLegendKey val="0"/>
          <c:showVal val="0"/>
          <c:showCatName val="0"/>
          <c:showSerName val="0"/>
          <c:showPercent val="0"/>
          <c:showBubbleSize val="0"/>
        </c:dLbls>
        <c:axId val="634780200"/>
        <c:axId val="634777848"/>
      </c:scatterChart>
      <c:valAx>
        <c:axId val="634780200"/>
        <c:scaling>
          <c:orientation val="minMax"/>
        </c:scaling>
        <c:delete val="0"/>
        <c:axPos val="b"/>
        <c:title>
          <c:tx>
            <c:rich>
              <a:bodyPr/>
              <a:lstStyle/>
              <a:p>
                <a:pPr>
                  <a:defRPr/>
                </a:pPr>
                <a:r>
                  <a:rPr lang="en-US" sz="1100"/>
                  <a:t>Actor's</a:t>
                </a:r>
                <a:r>
                  <a:rPr lang="en-US" sz="1100" baseline="0"/>
                  <a:t> </a:t>
                </a:r>
                <a:r>
                  <a:rPr lang="en-US" sz="1100"/>
                  <a:t>Use</a:t>
                </a:r>
                <a:r>
                  <a:rPr lang="en-US" sz="1100" baseline="0"/>
                  <a:t> of Let Go Across Diary</a:t>
                </a:r>
                <a:endParaRPr lang="en-US" sz="1100"/>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4777848"/>
        <c:crossesAt val="-30"/>
        <c:crossBetween val="midCat"/>
      </c:valAx>
      <c:valAx>
        <c:axId val="634777848"/>
        <c:scaling>
          <c:orientation val="minMax"/>
        </c:scaling>
        <c:delete val="0"/>
        <c:axPos val="l"/>
        <c:majorGridlines/>
        <c:title>
          <c:tx>
            <c:rich>
              <a:bodyPr rot="-5400000" vert="horz"/>
              <a:lstStyle/>
              <a:p>
                <a:pPr>
                  <a:defRPr/>
                </a:pPr>
                <a:r>
                  <a:rPr lang="en-US"/>
                  <a:t>Actor's</a:t>
                </a:r>
                <a:r>
                  <a:rPr lang="en-US" baseline="0"/>
                  <a:t> Daily Depressive Symptoms</a:t>
                </a:r>
                <a:endParaRPr lang="en-US"/>
              </a:p>
            </c:rich>
          </c:tx>
          <c:overlay val="0"/>
        </c:title>
        <c:numFmt formatCode="General" sourceLinked="1"/>
        <c:majorTickMark val="out"/>
        <c:minorTickMark val="none"/>
        <c:tickLblPos val="nextTo"/>
        <c:crossAx val="634780200"/>
        <c:crosses val="autoZero"/>
        <c:crossBetween val="midCat"/>
      </c:valAx>
    </c:plotArea>
    <c:legend>
      <c:legendPos val="r"/>
      <c:layout>
        <c:manualLayout>
          <c:xMode val="edge"/>
          <c:yMode val="edge"/>
          <c:x val="0.69598606006056596"/>
          <c:y val="0.21417380342196701"/>
          <c:w val="0.30401393993943399"/>
          <c:h val="0.40828304657674602"/>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Few Conflicts Across Diary Period</c:v>
                </c:pt>
              </c:strCache>
            </c:strRef>
          </c:tx>
          <c:spPr>
            <a:solidFill>
              <a:schemeClr val="tx1"/>
            </a:solidFill>
            <a:ln>
              <a:solidFill>
                <a:schemeClr val="bg1">
                  <a:lumMod val="65000"/>
                </a:schemeClr>
              </a:solidFill>
              <a:prstDash val="sysDash"/>
            </a:ln>
          </c:spPr>
          <c:invertIfNegative val="0"/>
          <c:errBars>
            <c:errBarType val="both"/>
            <c:errValType val="cust"/>
            <c:noEndCap val="0"/>
            <c:plus>
              <c:numRef>
                <c:f>Sheet1!$B$10</c:f>
                <c:numCache>
                  <c:formatCode>General</c:formatCode>
                  <c:ptCount val="1"/>
                  <c:pt idx="0">
                    <c:v>0.76111499999999999</c:v>
                  </c:pt>
                </c:numCache>
              </c:numRef>
            </c:plus>
            <c:minus>
              <c:numRef>
                <c:f>Sheet1!$B$10</c:f>
                <c:numCache>
                  <c:formatCode>General</c:formatCode>
                  <c:ptCount val="1"/>
                  <c:pt idx="0">
                    <c:v>0.76111499999999999</c:v>
                  </c:pt>
                </c:numCache>
              </c:numRef>
            </c:minus>
          </c:errBars>
          <c:cat>
            <c:numRef>
              <c:f>Sheet1!$E$14:$E$15</c:f>
              <c:numCache>
                <c:formatCode>General</c:formatCode>
                <c:ptCount val="2"/>
                <c:pt idx="0">
                  <c:v>0</c:v>
                </c:pt>
                <c:pt idx="1">
                  <c:v>1</c:v>
                </c:pt>
              </c:numCache>
            </c:numRef>
          </c:cat>
          <c:val>
            <c:numRef>
              <c:f>Sheet1!$F$14:$F$15</c:f>
              <c:numCache>
                <c:formatCode>General</c:formatCode>
                <c:ptCount val="2"/>
                <c:pt idx="0">
                  <c:v>8.9231420000000004</c:v>
                </c:pt>
                <c:pt idx="1">
                  <c:v>11.795541</c:v>
                </c:pt>
              </c:numCache>
            </c:numRef>
          </c:val>
          <c:extLst xmlns:c16r2="http://schemas.microsoft.com/office/drawing/2015/06/chart">
            <c:ext xmlns:c16="http://schemas.microsoft.com/office/drawing/2014/chart" uri="{C3380CC4-5D6E-409C-BE32-E72D297353CC}">
              <c16:uniqueId val="{00000000-308F-4248-8B61-34D0664F5CA8}"/>
            </c:ext>
          </c:extLst>
        </c:ser>
        <c:ser>
          <c:idx val="1"/>
          <c:order val="1"/>
          <c:tx>
            <c:strRef>
              <c:f>Sheet1!$G$13</c:f>
              <c:strCache>
                <c:ptCount val="1"/>
                <c:pt idx="0">
                  <c:v>Many Conflicts Across Diary Period</c:v>
                </c:pt>
              </c:strCache>
            </c:strRef>
          </c:tx>
          <c:spPr>
            <a:pattFill prst="pct50">
              <a:fgClr>
                <a:schemeClr val="tx1"/>
              </a:fgClr>
              <a:bgClr>
                <a:schemeClr val="bg1"/>
              </a:bgClr>
            </a:pattFill>
            <a:ln>
              <a:solidFill>
                <a:schemeClr val="tx1"/>
              </a:solidFill>
              <a:prstDash val="solid"/>
            </a:ln>
          </c:spPr>
          <c:invertIfNegative val="0"/>
          <c:errBars>
            <c:errBarType val="both"/>
            <c:errValType val="cust"/>
            <c:noEndCap val="0"/>
            <c:plus>
              <c:numRef>
                <c:f>Sheet1!$B$7</c:f>
                <c:numCache>
                  <c:formatCode>General</c:formatCode>
                  <c:ptCount val="1"/>
                  <c:pt idx="0">
                    <c:v>1.5278039999999999</c:v>
                  </c:pt>
                </c:numCache>
              </c:numRef>
            </c:plus>
            <c:minus>
              <c:numRef>
                <c:f>Sheet1!$B$7</c:f>
                <c:numCache>
                  <c:formatCode>General</c:formatCode>
                  <c:ptCount val="1"/>
                  <c:pt idx="0">
                    <c:v>1.5278039999999999</c:v>
                  </c:pt>
                </c:numCache>
              </c:numRef>
            </c:minus>
          </c:errBars>
          <c:cat>
            <c:numRef>
              <c:f>Sheet1!$E$14:$E$15</c:f>
              <c:numCache>
                <c:formatCode>General</c:formatCode>
                <c:ptCount val="2"/>
                <c:pt idx="0">
                  <c:v>0</c:v>
                </c:pt>
                <c:pt idx="1">
                  <c:v>1</c:v>
                </c:pt>
              </c:numCache>
            </c:numRef>
          </c:cat>
          <c:val>
            <c:numRef>
              <c:f>Sheet1!$G$14:$G$15</c:f>
              <c:numCache>
                <c:formatCode>General</c:formatCode>
                <c:ptCount val="2"/>
                <c:pt idx="0">
                  <c:v>10.056205</c:v>
                </c:pt>
                <c:pt idx="1">
                  <c:v>10.177382</c:v>
                </c:pt>
              </c:numCache>
            </c:numRef>
          </c:val>
          <c:extLst xmlns:c16r2="http://schemas.microsoft.com/office/drawing/2015/06/chart">
            <c:ext xmlns:c16="http://schemas.microsoft.com/office/drawing/2014/chart" uri="{C3380CC4-5D6E-409C-BE32-E72D297353CC}">
              <c16:uniqueId val="{00000001-308F-4248-8B61-34D0664F5CA8}"/>
            </c:ext>
          </c:extLst>
        </c:ser>
        <c:dLbls>
          <c:showLegendKey val="0"/>
          <c:showVal val="0"/>
          <c:showCatName val="0"/>
          <c:showSerName val="0"/>
          <c:showPercent val="0"/>
          <c:showBubbleSize val="0"/>
        </c:dLbls>
        <c:gapWidth val="150"/>
        <c:axId val="634779416"/>
        <c:axId val="634779808"/>
      </c:barChart>
      <c:catAx>
        <c:axId val="634779416"/>
        <c:scaling>
          <c:orientation val="minMax"/>
        </c:scaling>
        <c:delete val="0"/>
        <c:axPos val="b"/>
        <c:title>
          <c:tx>
            <c:rich>
              <a:bodyPr/>
              <a:lstStyle/>
              <a:p>
                <a:pPr>
                  <a:defRPr/>
                </a:pPr>
                <a:r>
                  <a:rPr lang="en-US" sz="1100"/>
                  <a:t>Partner Uses Let Go</a:t>
                </a:r>
                <a:endParaRPr lang="en-US" sz="1100" baseline="0"/>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4779808"/>
        <c:crossesAt val="0"/>
        <c:auto val="1"/>
        <c:lblAlgn val="ctr"/>
        <c:lblOffset val="100"/>
        <c:noMultiLvlLbl val="1"/>
      </c:catAx>
      <c:valAx>
        <c:axId val="634779808"/>
        <c:scaling>
          <c:orientation val="minMax"/>
        </c:scaling>
        <c:delete val="0"/>
        <c:axPos val="l"/>
        <c:majorGridlines/>
        <c:title>
          <c:tx>
            <c:rich>
              <a:bodyPr rot="-5400000" vert="horz"/>
              <a:lstStyle/>
              <a:p>
                <a:pPr>
                  <a:defRPr/>
                </a:pPr>
                <a:r>
                  <a:rPr lang="en-US"/>
                  <a:t>Actor's Daily Negative Affect</a:t>
                </a:r>
              </a:p>
            </c:rich>
          </c:tx>
          <c:overlay val="0"/>
        </c:title>
        <c:numFmt formatCode="General" sourceLinked="1"/>
        <c:majorTickMark val="out"/>
        <c:minorTickMark val="none"/>
        <c:tickLblPos val="nextTo"/>
        <c:crossAx val="634779416"/>
        <c:crosses val="autoZero"/>
        <c:crossBetween val="between"/>
      </c:valAx>
    </c:plotArea>
    <c:legend>
      <c:legendPos val="r"/>
      <c:layout>
        <c:manualLayout>
          <c:xMode val="edge"/>
          <c:yMode val="edge"/>
          <c:x val="0.64846799779065101"/>
          <c:y val="0.34753665791776001"/>
          <c:w val="0.35153200220934899"/>
          <c:h val="0.25110300082380499"/>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Not Serious</c:v>
                </c:pt>
              </c:strCache>
            </c:strRef>
          </c:tx>
          <c:spPr>
            <a:solidFill>
              <a:schemeClr val="tx1"/>
            </a:solidFill>
            <a:ln>
              <a:solidFill>
                <a:schemeClr val="bg1">
                  <a:lumMod val="65000"/>
                </a:schemeClr>
              </a:solidFill>
              <a:prstDash val="sysDash"/>
            </a:ln>
          </c:spPr>
          <c:invertIfNegative val="0"/>
          <c:errBars>
            <c:errBarType val="both"/>
            <c:errValType val="cust"/>
            <c:noEndCap val="0"/>
            <c:plus>
              <c:numRef>
                <c:f>Sheet1!$B$10</c:f>
                <c:numCache>
                  <c:formatCode>General</c:formatCode>
                  <c:ptCount val="1"/>
                  <c:pt idx="0">
                    <c:v>0.585341</c:v>
                  </c:pt>
                </c:numCache>
              </c:numRef>
            </c:plus>
            <c:minus>
              <c:numRef>
                <c:f>Sheet1!$B$10</c:f>
                <c:numCache>
                  <c:formatCode>General</c:formatCode>
                  <c:ptCount val="1"/>
                  <c:pt idx="0">
                    <c:v>0.585341</c:v>
                  </c:pt>
                </c:numCache>
              </c:numRef>
            </c:minus>
          </c:errBars>
          <c:cat>
            <c:numRef>
              <c:f>Sheet1!$E$14:$E$15</c:f>
              <c:numCache>
                <c:formatCode>General</c:formatCode>
                <c:ptCount val="2"/>
                <c:pt idx="0">
                  <c:v>0</c:v>
                </c:pt>
                <c:pt idx="1">
                  <c:v>1</c:v>
                </c:pt>
              </c:numCache>
            </c:numRef>
          </c:cat>
          <c:val>
            <c:numRef>
              <c:f>Sheet1!$F$14:$F$15</c:f>
              <c:numCache>
                <c:formatCode>General</c:formatCode>
                <c:ptCount val="2"/>
                <c:pt idx="0">
                  <c:v>3.2020840000000002</c:v>
                </c:pt>
                <c:pt idx="1">
                  <c:v>3.0447929999999999</c:v>
                </c:pt>
              </c:numCache>
            </c:numRef>
          </c:val>
          <c:extLst xmlns:c16r2="http://schemas.microsoft.com/office/drawing/2015/06/chart">
            <c:ext xmlns:c16="http://schemas.microsoft.com/office/drawing/2014/chart" uri="{C3380CC4-5D6E-409C-BE32-E72D297353CC}">
              <c16:uniqueId val="{00000000-0800-46E6-BBB5-70BAB203027B}"/>
            </c:ext>
          </c:extLst>
        </c:ser>
        <c:ser>
          <c:idx val="1"/>
          <c:order val="1"/>
          <c:tx>
            <c:strRef>
              <c:f>Sheet1!$G$13</c:f>
              <c:strCache>
                <c:ptCount val="1"/>
                <c:pt idx="0">
                  <c:v>Serious</c:v>
                </c:pt>
              </c:strCache>
            </c:strRef>
          </c:tx>
          <c:spPr>
            <a:pattFill prst="pct50">
              <a:fgClr>
                <a:schemeClr val="tx1"/>
              </a:fgClr>
              <a:bgClr>
                <a:schemeClr val="bg1"/>
              </a:bgClr>
            </a:pattFill>
            <a:ln>
              <a:solidFill>
                <a:schemeClr val="tx1"/>
              </a:solidFill>
              <a:prstDash val="solid"/>
            </a:ln>
          </c:spPr>
          <c:invertIfNegative val="0"/>
          <c:errBars>
            <c:errBarType val="both"/>
            <c:errValType val="cust"/>
            <c:noEndCap val="0"/>
            <c:plus>
              <c:numRef>
                <c:f>Sheet1!$B$7</c:f>
                <c:numCache>
                  <c:formatCode>General</c:formatCode>
                  <c:ptCount val="1"/>
                  <c:pt idx="0">
                    <c:v>0.51288400000000001</c:v>
                  </c:pt>
                </c:numCache>
              </c:numRef>
            </c:plus>
            <c:minus>
              <c:numRef>
                <c:f>Sheet1!$B$7</c:f>
                <c:numCache>
                  <c:formatCode>General</c:formatCode>
                  <c:ptCount val="1"/>
                  <c:pt idx="0">
                    <c:v>0.51288400000000001</c:v>
                  </c:pt>
                </c:numCache>
              </c:numRef>
            </c:minus>
          </c:errBars>
          <c:cat>
            <c:numRef>
              <c:f>Sheet1!$E$14:$E$15</c:f>
              <c:numCache>
                <c:formatCode>General</c:formatCode>
                <c:ptCount val="2"/>
                <c:pt idx="0">
                  <c:v>0</c:v>
                </c:pt>
                <c:pt idx="1">
                  <c:v>1</c:v>
                </c:pt>
              </c:numCache>
            </c:numRef>
          </c:cat>
          <c:val>
            <c:numRef>
              <c:f>Sheet1!$G$14:$G$15</c:f>
              <c:numCache>
                <c:formatCode>General</c:formatCode>
                <c:ptCount val="2"/>
                <c:pt idx="0">
                  <c:v>3.4002520000000001</c:v>
                </c:pt>
                <c:pt idx="1">
                  <c:v>6.0340009999999964</c:v>
                </c:pt>
              </c:numCache>
            </c:numRef>
          </c:val>
          <c:extLst xmlns:c16r2="http://schemas.microsoft.com/office/drawing/2015/06/chart">
            <c:ext xmlns:c16="http://schemas.microsoft.com/office/drawing/2014/chart" uri="{C3380CC4-5D6E-409C-BE32-E72D297353CC}">
              <c16:uniqueId val="{00000001-0800-46E6-BBB5-70BAB203027B}"/>
            </c:ext>
          </c:extLst>
        </c:ser>
        <c:dLbls>
          <c:showLegendKey val="0"/>
          <c:showVal val="0"/>
          <c:showCatName val="0"/>
          <c:showSerName val="0"/>
          <c:showPercent val="0"/>
          <c:showBubbleSize val="0"/>
        </c:dLbls>
        <c:gapWidth val="150"/>
        <c:axId val="634777064"/>
        <c:axId val="635203920"/>
      </c:barChart>
      <c:catAx>
        <c:axId val="634777064"/>
        <c:scaling>
          <c:orientation val="minMax"/>
        </c:scaling>
        <c:delete val="0"/>
        <c:axPos val="b"/>
        <c:title>
          <c:tx>
            <c:rich>
              <a:bodyPr/>
              <a:lstStyle/>
              <a:p>
                <a:pPr>
                  <a:defRPr/>
                </a:pPr>
                <a:r>
                  <a:rPr lang="en-US" sz="1100"/>
                  <a:t>Actor </a:t>
                </a:r>
                <a:r>
                  <a:rPr lang="en-US" sz="1100" baseline="0"/>
                  <a:t>Uses Avoidance</a:t>
                </a:r>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5203920"/>
        <c:crossesAt val="0"/>
        <c:auto val="1"/>
        <c:lblAlgn val="ctr"/>
        <c:lblOffset val="100"/>
        <c:noMultiLvlLbl val="1"/>
      </c:catAx>
      <c:valAx>
        <c:axId val="635203920"/>
        <c:scaling>
          <c:orientation val="minMax"/>
        </c:scaling>
        <c:delete val="0"/>
        <c:axPos val="l"/>
        <c:majorGridlines/>
        <c:title>
          <c:tx>
            <c:rich>
              <a:bodyPr rot="-5400000" vert="horz"/>
              <a:lstStyle/>
              <a:p>
                <a:pPr>
                  <a:defRPr/>
                </a:pPr>
                <a:r>
                  <a:rPr lang="en-US"/>
                  <a:t>Actor's Daily Depressive Symptoms</a:t>
                </a:r>
              </a:p>
            </c:rich>
          </c:tx>
          <c:overlay val="0"/>
        </c:title>
        <c:numFmt formatCode="General" sourceLinked="1"/>
        <c:majorTickMark val="out"/>
        <c:minorTickMark val="none"/>
        <c:tickLblPos val="nextTo"/>
        <c:crossAx val="634777064"/>
        <c:crosses val="autoZero"/>
        <c:crossBetween val="between"/>
      </c:valAx>
    </c:plotArea>
    <c:legend>
      <c:legendPos val="r"/>
      <c:layout>
        <c:manualLayout>
          <c:xMode val="edge"/>
          <c:yMode val="edge"/>
          <c:x val="0.76223270820237998"/>
          <c:y val="0.34753665791776001"/>
          <c:w val="0.23776729179761999"/>
          <c:h val="0.21442819061660401"/>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Not Serious</c:v>
                </c:pt>
              </c:strCache>
            </c:strRef>
          </c:tx>
          <c:spPr>
            <a:solidFill>
              <a:schemeClr val="tx1"/>
            </a:solidFill>
            <a:ln>
              <a:solidFill>
                <a:schemeClr val="bg1">
                  <a:lumMod val="65000"/>
                </a:schemeClr>
              </a:solidFill>
              <a:prstDash val="sysDash"/>
            </a:ln>
          </c:spPr>
          <c:invertIfNegative val="0"/>
          <c:errBars>
            <c:errBarType val="both"/>
            <c:errValType val="cust"/>
            <c:noEndCap val="0"/>
            <c:plus>
              <c:numRef>
                <c:f>Sheet1!$B$10</c:f>
                <c:numCache>
                  <c:formatCode>General</c:formatCode>
                  <c:ptCount val="1"/>
                  <c:pt idx="0">
                    <c:v>0.42314400000000002</c:v>
                  </c:pt>
                </c:numCache>
              </c:numRef>
            </c:plus>
            <c:minus>
              <c:numRef>
                <c:f>Sheet1!$B$10</c:f>
                <c:numCache>
                  <c:formatCode>General</c:formatCode>
                  <c:ptCount val="1"/>
                  <c:pt idx="0">
                    <c:v>0.42314400000000002</c:v>
                  </c:pt>
                </c:numCache>
              </c:numRef>
            </c:minus>
          </c:errBars>
          <c:cat>
            <c:numRef>
              <c:f>Sheet1!$E$14:$E$15</c:f>
              <c:numCache>
                <c:formatCode>General</c:formatCode>
                <c:ptCount val="2"/>
                <c:pt idx="0">
                  <c:v>0</c:v>
                </c:pt>
                <c:pt idx="1">
                  <c:v>1</c:v>
                </c:pt>
              </c:numCache>
            </c:numRef>
          </c:cat>
          <c:val>
            <c:numRef>
              <c:f>Sheet1!$F$14:$F$15</c:f>
              <c:numCache>
                <c:formatCode>General</c:formatCode>
                <c:ptCount val="2"/>
                <c:pt idx="0">
                  <c:v>18.291716000000001</c:v>
                </c:pt>
                <c:pt idx="1">
                  <c:v>18.989308000000001</c:v>
                </c:pt>
              </c:numCache>
            </c:numRef>
          </c:val>
          <c:extLst xmlns:c16r2="http://schemas.microsoft.com/office/drawing/2015/06/chart">
            <c:ext xmlns:c16="http://schemas.microsoft.com/office/drawing/2014/chart" uri="{C3380CC4-5D6E-409C-BE32-E72D297353CC}">
              <c16:uniqueId val="{00000000-43AE-40AA-8FF3-CF9DA3AF4CB7}"/>
            </c:ext>
          </c:extLst>
        </c:ser>
        <c:ser>
          <c:idx val="1"/>
          <c:order val="1"/>
          <c:tx>
            <c:strRef>
              <c:f>Sheet1!$G$13</c:f>
              <c:strCache>
                <c:ptCount val="1"/>
                <c:pt idx="0">
                  <c:v>Serious</c:v>
                </c:pt>
              </c:strCache>
            </c:strRef>
          </c:tx>
          <c:spPr>
            <a:pattFill prst="pct50">
              <a:fgClr>
                <a:schemeClr val="tx1"/>
              </a:fgClr>
              <a:bgClr>
                <a:schemeClr val="bg1"/>
              </a:bgClr>
            </a:pattFill>
            <a:ln>
              <a:solidFill>
                <a:schemeClr val="tx1"/>
              </a:solidFill>
              <a:prstDash val="solid"/>
            </a:ln>
          </c:spPr>
          <c:invertIfNegative val="0"/>
          <c:errBars>
            <c:errBarType val="both"/>
            <c:errValType val="cust"/>
            <c:noEndCap val="0"/>
            <c:plus>
              <c:numRef>
                <c:f>Sheet1!$B$7</c:f>
                <c:numCache>
                  <c:formatCode>General</c:formatCode>
                  <c:ptCount val="1"/>
                  <c:pt idx="0">
                    <c:v>0.409524</c:v>
                  </c:pt>
                </c:numCache>
              </c:numRef>
            </c:plus>
            <c:minus>
              <c:numRef>
                <c:f>Sheet1!$B$7</c:f>
                <c:numCache>
                  <c:formatCode>General</c:formatCode>
                  <c:ptCount val="1"/>
                  <c:pt idx="0">
                    <c:v>0.409524</c:v>
                  </c:pt>
                </c:numCache>
              </c:numRef>
            </c:minus>
          </c:errBars>
          <c:cat>
            <c:numRef>
              <c:f>Sheet1!$E$14:$E$15</c:f>
              <c:numCache>
                <c:formatCode>General</c:formatCode>
                <c:ptCount val="2"/>
                <c:pt idx="0">
                  <c:v>0</c:v>
                </c:pt>
                <c:pt idx="1">
                  <c:v>1</c:v>
                </c:pt>
              </c:numCache>
            </c:numRef>
          </c:cat>
          <c:val>
            <c:numRef>
              <c:f>Sheet1!$G$14:$G$15</c:f>
              <c:numCache>
                <c:formatCode>General</c:formatCode>
                <c:ptCount val="2"/>
                <c:pt idx="0">
                  <c:v>16.554753999999999</c:v>
                </c:pt>
                <c:pt idx="1">
                  <c:v>14.037595</c:v>
                </c:pt>
              </c:numCache>
            </c:numRef>
          </c:val>
          <c:extLst xmlns:c16r2="http://schemas.microsoft.com/office/drawing/2015/06/chart">
            <c:ext xmlns:c16="http://schemas.microsoft.com/office/drawing/2014/chart" uri="{C3380CC4-5D6E-409C-BE32-E72D297353CC}">
              <c16:uniqueId val="{00000001-43AE-40AA-8FF3-CF9DA3AF4CB7}"/>
            </c:ext>
          </c:extLst>
        </c:ser>
        <c:dLbls>
          <c:showLegendKey val="0"/>
          <c:showVal val="0"/>
          <c:showCatName val="0"/>
          <c:showSerName val="0"/>
          <c:showPercent val="0"/>
          <c:showBubbleSize val="0"/>
        </c:dLbls>
        <c:gapWidth val="150"/>
        <c:axId val="635204704"/>
        <c:axId val="635203136"/>
      </c:barChart>
      <c:catAx>
        <c:axId val="635204704"/>
        <c:scaling>
          <c:orientation val="minMax"/>
        </c:scaling>
        <c:delete val="0"/>
        <c:axPos val="b"/>
        <c:title>
          <c:tx>
            <c:rich>
              <a:bodyPr/>
              <a:lstStyle/>
              <a:p>
                <a:pPr>
                  <a:defRPr/>
                </a:pPr>
                <a:r>
                  <a:rPr lang="en-US" sz="1100"/>
                  <a:t>Partner </a:t>
                </a:r>
                <a:r>
                  <a:rPr lang="en-US" sz="1100" baseline="0"/>
                  <a:t>Uses Avoidance</a:t>
                </a:r>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5203136"/>
        <c:crossesAt val="0"/>
        <c:auto val="1"/>
        <c:lblAlgn val="ctr"/>
        <c:lblOffset val="100"/>
        <c:noMultiLvlLbl val="1"/>
      </c:catAx>
      <c:valAx>
        <c:axId val="635203136"/>
        <c:scaling>
          <c:orientation val="minMax"/>
        </c:scaling>
        <c:delete val="0"/>
        <c:axPos val="l"/>
        <c:majorGridlines/>
        <c:title>
          <c:tx>
            <c:rich>
              <a:bodyPr rot="-5400000" vert="horz"/>
              <a:lstStyle/>
              <a:p>
                <a:pPr>
                  <a:defRPr/>
                </a:pPr>
                <a:r>
                  <a:rPr lang="en-US"/>
                  <a:t>Actor's Daily Relationship</a:t>
                </a:r>
                <a:r>
                  <a:rPr lang="en-US" baseline="0"/>
                  <a:t> Satisfaction</a:t>
                </a:r>
                <a:endParaRPr lang="en-US"/>
              </a:p>
            </c:rich>
          </c:tx>
          <c:overlay val="0"/>
        </c:title>
        <c:numFmt formatCode="General" sourceLinked="1"/>
        <c:majorTickMark val="out"/>
        <c:minorTickMark val="none"/>
        <c:tickLblPos val="nextTo"/>
        <c:crossAx val="635204704"/>
        <c:crosses val="autoZero"/>
        <c:crossBetween val="between"/>
      </c:valAx>
    </c:plotArea>
    <c:legend>
      <c:legendPos val="r"/>
      <c:layout>
        <c:manualLayout>
          <c:xMode val="edge"/>
          <c:yMode val="edge"/>
          <c:x val="0.76223270820237998"/>
          <c:y val="0.34753665791776001"/>
          <c:w val="0.23776729179761999"/>
          <c:h val="0.21442819061660401"/>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Not Serious</c:v>
                </c:pt>
              </c:strCache>
            </c:strRef>
          </c:tx>
          <c:spPr>
            <a:solidFill>
              <a:schemeClr val="tx1"/>
            </a:solidFill>
            <a:ln>
              <a:solidFill>
                <a:schemeClr val="bg1">
                  <a:lumMod val="65000"/>
                </a:schemeClr>
              </a:solidFill>
              <a:prstDash val="sysDash"/>
            </a:ln>
          </c:spPr>
          <c:invertIfNegative val="0"/>
          <c:errBars>
            <c:errBarType val="both"/>
            <c:errValType val="cust"/>
            <c:noEndCap val="0"/>
            <c:plus>
              <c:numRef>
                <c:f>Sheet1!$B$10</c:f>
                <c:numCache>
                  <c:formatCode>General</c:formatCode>
                  <c:ptCount val="1"/>
                  <c:pt idx="0">
                    <c:v>0.52982700000000005</c:v>
                  </c:pt>
                </c:numCache>
              </c:numRef>
            </c:plus>
            <c:minus>
              <c:numRef>
                <c:f>Sheet1!$B$10</c:f>
                <c:numCache>
                  <c:formatCode>General</c:formatCode>
                  <c:ptCount val="1"/>
                  <c:pt idx="0">
                    <c:v>0.52982700000000005</c:v>
                  </c:pt>
                </c:numCache>
              </c:numRef>
            </c:minus>
          </c:errBars>
          <c:cat>
            <c:numRef>
              <c:f>Sheet1!$E$14:$E$15</c:f>
              <c:numCache>
                <c:formatCode>General</c:formatCode>
                <c:ptCount val="2"/>
                <c:pt idx="0">
                  <c:v>0</c:v>
                </c:pt>
                <c:pt idx="1">
                  <c:v>1</c:v>
                </c:pt>
              </c:numCache>
            </c:numRef>
          </c:cat>
          <c:val>
            <c:numRef>
              <c:f>Sheet1!$F$14:$F$15</c:f>
              <c:numCache>
                <c:formatCode>General</c:formatCode>
                <c:ptCount val="2"/>
                <c:pt idx="0">
                  <c:v>3.2020840000000002</c:v>
                </c:pt>
                <c:pt idx="1">
                  <c:v>3.255719</c:v>
                </c:pt>
              </c:numCache>
            </c:numRef>
          </c:val>
          <c:extLst xmlns:c16r2="http://schemas.microsoft.com/office/drawing/2015/06/chart">
            <c:ext xmlns:c16="http://schemas.microsoft.com/office/drawing/2014/chart" uri="{C3380CC4-5D6E-409C-BE32-E72D297353CC}">
              <c16:uniqueId val="{00000000-F569-4FE3-A801-09E46D4E2E6C}"/>
            </c:ext>
          </c:extLst>
        </c:ser>
        <c:ser>
          <c:idx val="1"/>
          <c:order val="1"/>
          <c:tx>
            <c:strRef>
              <c:f>Sheet1!$G$13</c:f>
              <c:strCache>
                <c:ptCount val="1"/>
                <c:pt idx="0">
                  <c:v>Serious</c:v>
                </c:pt>
              </c:strCache>
            </c:strRef>
          </c:tx>
          <c:spPr>
            <a:pattFill prst="pct50">
              <a:fgClr>
                <a:schemeClr val="tx1"/>
              </a:fgClr>
              <a:bgClr>
                <a:schemeClr val="bg1"/>
              </a:bgClr>
            </a:pattFill>
            <a:ln>
              <a:solidFill>
                <a:schemeClr val="tx1"/>
              </a:solidFill>
              <a:prstDash val="solid"/>
            </a:ln>
          </c:spPr>
          <c:invertIfNegative val="0"/>
          <c:errBars>
            <c:errBarType val="both"/>
            <c:errValType val="cust"/>
            <c:noEndCap val="0"/>
            <c:plus>
              <c:numRef>
                <c:f>Sheet1!$B$7</c:f>
                <c:numCache>
                  <c:formatCode>General</c:formatCode>
                  <c:ptCount val="1"/>
                  <c:pt idx="0">
                    <c:v>0.51314499999999996</c:v>
                  </c:pt>
                </c:numCache>
              </c:numRef>
            </c:plus>
            <c:minus>
              <c:numRef>
                <c:f>Sheet1!$B$7</c:f>
                <c:numCache>
                  <c:formatCode>General</c:formatCode>
                  <c:ptCount val="1"/>
                  <c:pt idx="0">
                    <c:v>0.51314499999999996</c:v>
                  </c:pt>
                </c:numCache>
              </c:numRef>
            </c:minus>
          </c:errBars>
          <c:cat>
            <c:numRef>
              <c:f>Sheet1!$E$14:$E$15</c:f>
              <c:numCache>
                <c:formatCode>General</c:formatCode>
                <c:ptCount val="2"/>
                <c:pt idx="0">
                  <c:v>0</c:v>
                </c:pt>
                <c:pt idx="1">
                  <c:v>1</c:v>
                </c:pt>
              </c:numCache>
            </c:numRef>
          </c:cat>
          <c:val>
            <c:numRef>
              <c:f>Sheet1!$G$14:$G$15</c:f>
              <c:numCache>
                <c:formatCode>General</c:formatCode>
                <c:ptCount val="2"/>
                <c:pt idx="0">
                  <c:v>3.4002520000000001</c:v>
                </c:pt>
                <c:pt idx="1">
                  <c:v>5.458812</c:v>
                </c:pt>
              </c:numCache>
            </c:numRef>
          </c:val>
          <c:extLst xmlns:c16r2="http://schemas.microsoft.com/office/drawing/2015/06/chart">
            <c:ext xmlns:c16="http://schemas.microsoft.com/office/drawing/2014/chart" uri="{C3380CC4-5D6E-409C-BE32-E72D297353CC}">
              <c16:uniqueId val="{00000001-F569-4FE3-A801-09E46D4E2E6C}"/>
            </c:ext>
          </c:extLst>
        </c:ser>
        <c:dLbls>
          <c:showLegendKey val="0"/>
          <c:showVal val="0"/>
          <c:showCatName val="0"/>
          <c:showSerName val="0"/>
          <c:showPercent val="0"/>
          <c:showBubbleSize val="0"/>
        </c:dLbls>
        <c:gapWidth val="150"/>
        <c:axId val="635206664"/>
        <c:axId val="635205880"/>
      </c:barChart>
      <c:catAx>
        <c:axId val="635206664"/>
        <c:scaling>
          <c:orientation val="minMax"/>
        </c:scaling>
        <c:delete val="0"/>
        <c:axPos val="b"/>
        <c:title>
          <c:tx>
            <c:rich>
              <a:bodyPr/>
              <a:lstStyle/>
              <a:p>
                <a:pPr>
                  <a:defRPr/>
                </a:pPr>
                <a:r>
                  <a:rPr lang="en-US" sz="1100"/>
                  <a:t>Partner Uses Avoidance</a:t>
                </a:r>
                <a:endParaRPr lang="en-US" sz="1100" baseline="0"/>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5205880"/>
        <c:crossesAt val="0"/>
        <c:auto val="1"/>
        <c:lblAlgn val="ctr"/>
        <c:lblOffset val="100"/>
        <c:noMultiLvlLbl val="1"/>
      </c:catAx>
      <c:valAx>
        <c:axId val="635205880"/>
        <c:scaling>
          <c:orientation val="minMax"/>
        </c:scaling>
        <c:delete val="0"/>
        <c:axPos val="l"/>
        <c:majorGridlines/>
        <c:title>
          <c:tx>
            <c:rich>
              <a:bodyPr rot="-5400000" vert="horz"/>
              <a:lstStyle/>
              <a:p>
                <a:pPr>
                  <a:defRPr/>
                </a:pPr>
                <a:r>
                  <a:rPr lang="en-US"/>
                  <a:t>Actor's Daily Depressive Symptoms</a:t>
                </a:r>
              </a:p>
            </c:rich>
          </c:tx>
          <c:overlay val="0"/>
        </c:title>
        <c:numFmt formatCode="General" sourceLinked="1"/>
        <c:majorTickMark val="out"/>
        <c:minorTickMark val="none"/>
        <c:tickLblPos val="nextTo"/>
        <c:crossAx val="635206664"/>
        <c:crosses val="autoZero"/>
        <c:crossBetween val="between"/>
      </c:valAx>
    </c:plotArea>
    <c:legend>
      <c:legendPos val="r"/>
      <c:layout>
        <c:manualLayout>
          <c:xMode val="edge"/>
          <c:yMode val="edge"/>
          <c:x val="0.76223270820237998"/>
          <c:y val="0.34753665791776001"/>
          <c:w val="0.23776729179761999"/>
          <c:h val="0.21442819061660401"/>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0"/>
          <c:order val="0"/>
          <c:tx>
            <c:strRef>
              <c:f>Sheet1!$F$13</c:f>
              <c:strCache>
                <c:ptCount val="1"/>
                <c:pt idx="0">
                  <c:v>Not Serious</c:v>
                </c:pt>
              </c:strCache>
            </c:strRef>
          </c:tx>
          <c:spPr>
            <a:ln>
              <a:solidFill>
                <a:schemeClr val="bg1">
                  <a:lumMod val="65000"/>
                </a:schemeClr>
              </a:solidFill>
              <a:prstDash val="sysDash"/>
            </a:ln>
          </c:spPr>
          <c:marker>
            <c:symbol val="none"/>
          </c:marker>
          <c:errBars>
            <c:errDir val="y"/>
            <c:errBarType val="both"/>
            <c:errValType val="cust"/>
            <c:noEndCap val="0"/>
            <c:plus>
              <c:numRef>
                <c:f>Sheet1!$B$10</c:f>
                <c:numCache>
                  <c:formatCode>General</c:formatCode>
                  <c:ptCount val="1"/>
                  <c:pt idx="0">
                    <c:v>0.27318399999999998</c:v>
                  </c:pt>
                </c:numCache>
              </c:numRef>
            </c:plus>
            <c:minus>
              <c:numRef>
                <c:f>Sheet1!$B$10</c:f>
                <c:numCache>
                  <c:formatCode>General</c:formatCode>
                  <c:ptCount val="1"/>
                  <c:pt idx="0">
                    <c:v>0.27318399999999998</c:v>
                  </c:pt>
                </c:numCache>
              </c:numRef>
            </c:minus>
          </c:errBars>
          <c:xVal>
            <c:numRef>
              <c:f>Sheet1!$E$14:$E$15</c:f>
              <c:numCache>
                <c:formatCode>General</c:formatCode>
                <c:ptCount val="2"/>
                <c:pt idx="0">
                  <c:v>0</c:v>
                </c:pt>
                <c:pt idx="1">
                  <c:v>10</c:v>
                </c:pt>
              </c:numCache>
            </c:numRef>
          </c:xVal>
          <c:yVal>
            <c:numRef>
              <c:f>Sheet1!$F$14:$F$15</c:f>
              <c:numCache>
                <c:formatCode>General</c:formatCode>
                <c:ptCount val="2"/>
                <c:pt idx="0">
                  <c:v>19.806615000000001</c:v>
                </c:pt>
                <c:pt idx="1">
                  <c:v>16.493614999999981</c:v>
                </c:pt>
              </c:numCache>
            </c:numRef>
          </c:yVal>
          <c:smooth val="0"/>
          <c:extLst xmlns:c16r2="http://schemas.microsoft.com/office/drawing/2015/06/chart">
            <c:ext xmlns:c16="http://schemas.microsoft.com/office/drawing/2014/chart" uri="{C3380CC4-5D6E-409C-BE32-E72D297353CC}">
              <c16:uniqueId val="{00000000-76DE-4F69-98B1-2EDD10AD50BF}"/>
            </c:ext>
          </c:extLst>
        </c:ser>
        <c:ser>
          <c:idx val="1"/>
          <c:order val="1"/>
          <c:tx>
            <c:strRef>
              <c:f>Sheet1!$G$13</c:f>
              <c:strCache>
                <c:ptCount val="1"/>
                <c:pt idx="0">
                  <c:v>Serious</c:v>
                </c:pt>
              </c:strCache>
            </c:strRef>
          </c:tx>
          <c:spPr>
            <a:ln>
              <a:solidFill>
                <a:schemeClr val="tx1"/>
              </a:solidFill>
              <a:prstDash val="solid"/>
            </a:ln>
          </c:spPr>
          <c:marker>
            <c:symbol val="none"/>
          </c:marker>
          <c:errBars>
            <c:errDir val="y"/>
            <c:errBarType val="both"/>
            <c:errValType val="cust"/>
            <c:noEndCap val="0"/>
            <c:plus>
              <c:numRef>
                <c:f>Sheet1!$B$7</c:f>
                <c:numCache>
                  <c:formatCode>General</c:formatCode>
                  <c:ptCount val="1"/>
                  <c:pt idx="0">
                    <c:v>0.27174500000000001</c:v>
                  </c:pt>
                </c:numCache>
              </c:numRef>
            </c:plus>
            <c:minus>
              <c:numRef>
                <c:f>Sheet1!$B$7</c:f>
                <c:numCache>
                  <c:formatCode>General</c:formatCode>
                  <c:ptCount val="1"/>
                  <c:pt idx="0">
                    <c:v>0.27174500000000001</c:v>
                  </c:pt>
                </c:numCache>
              </c:numRef>
            </c:minus>
          </c:errBars>
          <c:xVal>
            <c:numRef>
              <c:f>Sheet1!$E$14:$E$15</c:f>
              <c:numCache>
                <c:formatCode>General</c:formatCode>
                <c:ptCount val="2"/>
                <c:pt idx="0">
                  <c:v>0</c:v>
                </c:pt>
                <c:pt idx="1">
                  <c:v>10</c:v>
                </c:pt>
              </c:numCache>
            </c:numRef>
          </c:xVal>
          <c:yVal>
            <c:numRef>
              <c:f>Sheet1!$G$14:$G$15</c:f>
              <c:numCache>
                <c:formatCode>General</c:formatCode>
                <c:ptCount val="2"/>
                <c:pt idx="0">
                  <c:v>11.781083000000001</c:v>
                </c:pt>
                <c:pt idx="1">
                  <c:v>15.031333</c:v>
                </c:pt>
              </c:numCache>
            </c:numRef>
          </c:yVal>
          <c:smooth val="0"/>
          <c:extLst xmlns:c16r2="http://schemas.microsoft.com/office/drawing/2015/06/chart">
            <c:ext xmlns:c16="http://schemas.microsoft.com/office/drawing/2014/chart" uri="{C3380CC4-5D6E-409C-BE32-E72D297353CC}">
              <c16:uniqueId val="{00000001-76DE-4F69-98B1-2EDD10AD50BF}"/>
            </c:ext>
          </c:extLst>
        </c:ser>
        <c:dLbls>
          <c:showLegendKey val="0"/>
          <c:showVal val="0"/>
          <c:showCatName val="0"/>
          <c:showSerName val="0"/>
          <c:showPercent val="0"/>
          <c:showBubbleSize val="0"/>
        </c:dLbls>
        <c:axId val="635205488"/>
        <c:axId val="635206272"/>
      </c:scatterChart>
      <c:valAx>
        <c:axId val="635205488"/>
        <c:scaling>
          <c:orientation val="minMax"/>
        </c:scaling>
        <c:delete val="0"/>
        <c:axPos val="b"/>
        <c:title>
          <c:tx>
            <c:rich>
              <a:bodyPr/>
              <a:lstStyle/>
              <a:p>
                <a:pPr>
                  <a:defRPr/>
                </a:pPr>
                <a:r>
                  <a:rPr lang="en-US" sz="1100"/>
                  <a:t>Partner's Use of Avoidance </a:t>
                </a:r>
                <a:r>
                  <a:rPr lang="en-US" sz="1100" baseline="0"/>
                  <a:t>Across Diary</a:t>
                </a:r>
                <a:endParaRPr lang="en-US" sz="1100"/>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5206272"/>
        <c:crossesAt val="-30"/>
        <c:crossBetween val="midCat"/>
      </c:valAx>
      <c:valAx>
        <c:axId val="635206272"/>
        <c:scaling>
          <c:orientation val="minMax"/>
        </c:scaling>
        <c:delete val="0"/>
        <c:axPos val="l"/>
        <c:majorGridlines/>
        <c:title>
          <c:tx>
            <c:rich>
              <a:bodyPr rot="-5400000" vert="horz"/>
              <a:lstStyle/>
              <a:p>
                <a:pPr>
                  <a:defRPr/>
                </a:pPr>
                <a:r>
                  <a:rPr lang="en-US"/>
                  <a:t>Actor's</a:t>
                </a:r>
                <a:r>
                  <a:rPr lang="en-US" baseline="0"/>
                  <a:t> Daily Understanding/Appreciation</a:t>
                </a:r>
                <a:endParaRPr lang="en-US"/>
              </a:p>
            </c:rich>
          </c:tx>
          <c:overlay val="0"/>
        </c:title>
        <c:numFmt formatCode="General" sourceLinked="1"/>
        <c:majorTickMark val="out"/>
        <c:minorTickMark val="none"/>
        <c:tickLblPos val="nextTo"/>
        <c:crossAx val="635205488"/>
        <c:crosses val="autoZero"/>
        <c:crossBetween val="midCat"/>
      </c:valAx>
    </c:plotArea>
    <c:legend>
      <c:legendPos val="r"/>
      <c:layout>
        <c:manualLayout>
          <c:xMode val="edge"/>
          <c:yMode val="edge"/>
          <c:x val="0.69598606006056596"/>
          <c:y val="0.21417380342196701"/>
          <c:w val="0.30401393993943399"/>
          <c:h val="0.40828304657674602"/>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0"/>
          <c:order val="0"/>
          <c:tx>
            <c:strRef>
              <c:f>Sheet1!$F$13</c:f>
              <c:strCache>
                <c:ptCount val="1"/>
                <c:pt idx="0">
                  <c:v>Not Serious</c:v>
                </c:pt>
              </c:strCache>
            </c:strRef>
          </c:tx>
          <c:spPr>
            <a:ln>
              <a:solidFill>
                <a:schemeClr val="bg1">
                  <a:lumMod val="65000"/>
                </a:schemeClr>
              </a:solidFill>
              <a:prstDash val="sysDash"/>
            </a:ln>
          </c:spPr>
          <c:marker>
            <c:symbol val="none"/>
          </c:marker>
          <c:errBars>
            <c:errDir val="y"/>
            <c:errBarType val="both"/>
            <c:errValType val="cust"/>
            <c:noEndCap val="0"/>
            <c:plus>
              <c:numRef>
                <c:f>Sheet1!$B$10</c:f>
                <c:numCache>
                  <c:formatCode>General</c:formatCode>
                  <c:ptCount val="1"/>
                  <c:pt idx="0">
                    <c:v>0.156141</c:v>
                  </c:pt>
                </c:numCache>
              </c:numRef>
            </c:plus>
            <c:minus>
              <c:numRef>
                <c:f>Sheet1!$B$10</c:f>
                <c:numCache>
                  <c:formatCode>General</c:formatCode>
                  <c:ptCount val="1"/>
                  <c:pt idx="0">
                    <c:v>0.156141</c:v>
                  </c:pt>
                </c:numCache>
              </c:numRef>
            </c:minus>
          </c:errBars>
          <c:xVal>
            <c:numRef>
              <c:f>Sheet1!$E$14:$E$15</c:f>
              <c:numCache>
                <c:formatCode>General</c:formatCode>
                <c:ptCount val="2"/>
                <c:pt idx="0">
                  <c:v>0</c:v>
                </c:pt>
                <c:pt idx="1">
                  <c:v>10</c:v>
                </c:pt>
              </c:numCache>
            </c:numRef>
          </c:xVal>
          <c:yVal>
            <c:numRef>
              <c:f>Sheet1!$F$14:$F$15</c:f>
              <c:numCache>
                <c:formatCode>General</c:formatCode>
                <c:ptCount val="2"/>
                <c:pt idx="0">
                  <c:v>18.291716000000001</c:v>
                </c:pt>
                <c:pt idx="1">
                  <c:v>17.177475999999999</c:v>
                </c:pt>
              </c:numCache>
            </c:numRef>
          </c:yVal>
          <c:smooth val="0"/>
          <c:extLst xmlns:c16r2="http://schemas.microsoft.com/office/drawing/2015/06/chart">
            <c:ext xmlns:c16="http://schemas.microsoft.com/office/drawing/2014/chart" uri="{C3380CC4-5D6E-409C-BE32-E72D297353CC}">
              <c16:uniqueId val="{00000000-1E5D-4D34-86C2-32796263051F}"/>
            </c:ext>
          </c:extLst>
        </c:ser>
        <c:ser>
          <c:idx val="1"/>
          <c:order val="1"/>
          <c:tx>
            <c:strRef>
              <c:f>Sheet1!$G$13</c:f>
              <c:strCache>
                <c:ptCount val="1"/>
                <c:pt idx="0">
                  <c:v>Serious</c:v>
                </c:pt>
              </c:strCache>
            </c:strRef>
          </c:tx>
          <c:spPr>
            <a:ln>
              <a:solidFill>
                <a:schemeClr val="tx1"/>
              </a:solidFill>
              <a:prstDash val="solid"/>
            </a:ln>
          </c:spPr>
          <c:marker>
            <c:symbol val="none"/>
          </c:marker>
          <c:errBars>
            <c:errDir val="y"/>
            <c:errBarType val="both"/>
            <c:errValType val="cust"/>
            <c:noEndCap val="0"/>
            <c:plus>
              <c:numRef>
                <c:f>Sheet1!$B$7</c:f>
                <c:numCache>
                  <c:formatCode>General</c:formatCode>
                  <c:ptCount val="1"/>
                  <c:pt idx="0">
                    <c:v>0.15964900000000001</c:v>
                  </c:pt>
                </c:numCache>
              </c:numRef>
            </c:plus>
            <c:minus>
              <c:numRef>
                <c:f>Sheet1!$B$7</c:f>
                <c:numCache>
                  <c:formatCode>General</c:formatCode>
                  <c:ptCount val="1"/>
                  <c:pt idx="0">
                    <c:v>0.15964900000000001</c:v>
                  </c:pt>
                </c:numCache>
              </c:numRef>
            </c:minus>
          </c:errBars>
          <c:xVal>
            <c:numRef>
              <c:f>Sheet1!$E$14:$E$15</c:f>
              <c:numCache>
                <c:formatCode>General</c:formatCode>
                <c:ptCount val="2"/>
                <c:pt idx="0">
                  <c:v>0</c:v>
                </c:pt>
                <c:pt idx="1">
                  <c:v>10</c:v>
                </c:pt>
              </c:numCache>
            </c:numRef>
          </c:xVal>
          <c:yVal>
            <c:numRef>
              <c:f>Sheet1!$G$14:$G$15</c:f>
              <c:numCache>
                <c:formatCode>General</c:formatCode>
                <c:ptCount val="2"/>
                <c:pt idx="0">
                  <c:v>16.554753999999999</c:v>
                </c:pt>
                <c:pt idx="1">
                  <c:v>20.057264</c:v>
                </c:pt>
              </c:numCache>
            </c:numRef>
          </c:yVal>
          <c:smooth val="0"/>
          <c:extLst xmlns:c16r2="http://schemas.microsoft.com/office/drawing/2015/06/chart">
            <c:ext xmlns:c16="http://schemas.microsoft.com/office/drawing/2014/chart" uri="{C3380CC4-5D6E-409C-BE32-E72D297353CC}">
              <c16:uniqueId val="{00000001-1E5D-4D34-86C2-32796263051F}"/>
            </c:ext>
          </c:extLst>
        </c:ser>
        <c:dLbls>
          <c:showLegendKey val="0"/>
          <c:showVal val="0"/>
          <c:showCatName val="0"/>
          <c:showSerName val="0"/>
          <c:showPercent val="0"/>
          <c:showBubbleSize val="0"/>
        </c:dLbls>
        <c:axId val="635092416"/>
        <c:axId val="635094376"/>
      </c:scatterChart>
      <c:valAx>
        <c:axId val="635092416"/>
        <c:scaling>
          <c:orientation val="minMax"/>
        </c:scaling>
        <c:delete val="0"/>
        <c:axPos val="b"/>
        <c:title>
          <c:tx>
            <c:rich>
              <a:bodyPr/>
              <a:lstStyle/>
              <a:p>
                <a:pPr>
                  <a:defRPr/>
                </a:pPr>
                <a:r>
                  <a:rPr lang="en-US" sz="1100"/>
                  <a:t>Partner's Use</a:t>
                </a:r>
                <a:r>
                  <a:rPr lang="en-US" sz="1100" baseline="0"/>
                  <a:t> of Avoidance Across Diary</a:t>
                </a:r>
                <a:endParaRPr lang="en-US" sz="1100"/>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5094376"/>
        <c:crossesAt val="-30"/>
        <c:crossBetween val="midCat"/>
      </c:valAx>
      <c:valAx>
        <c:axId val="635094376"/>
        <c:scaling>
          <c:orientation val="minMax"/>
        </c:scaling>
        <c:delete val="0"/>
        <c:axPos val="l"/>
        <c:majorGridlines/>
        <c:title>
          <c:tx>
            <c:rich>
              <a:bodyPr rot="-5400000" vert="horz"/>
              <a:lstStyle/>
              <a:p>
                <a:pPr>
                  <a:defRPr/>
                </a:pPr>
                <a:r>
                  <a:rPr lang="en-US"/>
                  <a:t>Actor's</a:t>
                </a:r>
                <a:r>
                  <a:rPr lang="en-US" baseline="0"/>
                  <a:t> Daily Relationship Satisfaction</a:t>
                </a:r>
                <a:endParaRPr lang="en-US"/>
              </a:p>
            </c:rich>
          </c:tx>
          <c:overlay val="0"/>
        </c:title>
        <c:numFmt formatCode="General" sourceLinked="1"/>
        <c:majorTickMark val="out"/>
        <c:minorTickMark val="none"/>
        <c:tickLblPos val="nextTo"/>
        <c:crossAx val="635092416"/>
        <c:crosses val="autoZero"/>
        <c:crossBetween val="midCat"/>
      </c:valAx>
    </c:plotArea>
    <c:legend>
      <c:legendPos val="r"/>
      <c:layout>
        <c:manualLayout>
          <c:xMode val="edge"/>
          <c:yMode val="edge"/>
          <c:x val="0.69598606006056596"/>
          <c:y val="0.21417380342196701"/>
          <c:w val="0.30401393993943399"/>
          <c:h val="0.40828304657674602"/>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0.111526998434653"/>
          <c:y val="4.3427426089861401E-2"/>
          <c:w val="0.62362204724409398"/>
          <c:h val="0.79741092577224404"/>
        </c:manualLayout>
      </c:layout>
      <c:scatterChart>
        <c:scatterStyle val="lineMarker"/>
        <c:varyColors val="0"/>
        <c:ser>
          <c:idx val="0"/>
          <c:order val="0"/>
          <c:tx>
            <c:strRef>
              <c:f>Sheet1!$F$13</c:f>
              <c:strCache>
                <c:ptCount val="1"/>
                <c:pt idx="0">
                  <c:v>Not Serious</c:v>
                </c:pt>
              </c:strCache>
            </c:strRef>
          </c:tx>
          <c:spPr>
            <a:ln>
              <a:solidFill>
                <a:schemeClr val="bg1">
                  <a:lumMod val="65000"/>
                </a:schemeClr>
              </a:solidFill>
              <a:prstDash val="sysDash"/>
            </a:ln>
          </c:spPr>
          <c:marker>
            <c:symbol val="none"/>
          </c:marker>
          <c:errBars>
            <c:errDir val="y"/>
            <c:errBarType val="both"/>
            <c:errValType val="cust"/>
            <c:noEndCap val="0"/>
            <c:plus>
              <c:numRef>
                <c:f>Sheet1!$B$10</c:f>
                <c:numCache>
                  <c:formatCode>General</c:formatCode>
                  <c:ptCount val="1"/>
                  <c:pt idx="0">
                    <c:v>0.189469</c:v>
                  </c:pt>
                </c:numCache>
              </c:numRef>
            </c:plus>
            <c:minus>
              <c:numRef>
                <c:f>Sheet1!$B$10</c:f>
                <c:numCache>
                  <c:formatCode>General</c:formatCode>
                  <c:ptCount val="1"/>
                  <c:pt idx="0">
                    <c:v>0.189469</c:v>
                  </c:pt>
                </c:numCache>
              </c:numRef>
            </c:minus>
          </c:errBars>
          <c:xVal>
            <c:numRef>
              <c:f>Sheet1!$E$14:$E$15</c:f>
              <c:numCache>
                <c:formatCode>General</c:formatCode>
                <c:ptCount val="2"/>
                <c:pt idx="0">
                  <c:v>0</c:v>
                </c:pt>
                <c:pt idx="1">
                  <c:v>10</c:v>
                </c:pt>
              </c:numCache>
            </c:numRef>
          </c:xVal>
          <c:yVal>
            <c:numRef>
              <c:f>Sheet1!$F$14:$F$15</c:f>
              <c:numCache>
                <c:formatCode>General</c:formatCode>
                <c:ptCount val="2"/>
                <c:pt idx="0">
                  <c:v>3.2020840000000002</c:v>
                </c:pt>
                <c:pt idx="1">
                  <c:v>5.3764240000000001</c:v>
                </c:pt>
              </c:numCache>
            </c:numRef>
          </c:yVal>
          <c:smooth val="0"/>
          <c:extLst xmlns:c16r2="http://schemas.microsoft.com/office/drawing/2015/06/chart">
            <c:ext xmlns:c16="http://schemas.microsoft.com/office/drawing/2014/chart" uri="{C3380CC4-5D6E-409C-BE32-E72D297353CC}">
              <c16:uniqueId val="{00000000-B7FB-42E2-BCF6-C64259FC323E}"/>
            </c:ext>
          </c:extLst>
        </c:ser>
        <c:ser>
          <c:idx val="1"/>
          <c:order val="1"/>
          <c:tx>
            <c:strRef>
              <c:f>Sheet1!$G$13</c:f>
              <c:strCache>
                <c:ptCount val="1"/>
                <c:pt idx="0">
                  <c:v>Serious</c:v>
                </c:pt>
              </c:strCache>
            </c:strRef>
          </c:tx>
          <c:spPr>
            <a:ln>
              <a:solidFill>
                <a:schemeClr val="tx1"/>
              </a:solidFill>
              <a:prstDash val="solid"/>
            </a:ln>
          </c:spPr>
          <c:marker>
            <c:symbol val="none"/>
          </c:marker>
          <c:errBars>
            <c:errDir val="y"/>
            <c:errBarType val="both"/>
            <c:errValType val="cust"/>
            <c:noEndCap val="0"/>
            <c:plus>
              <c:numRef>
                <c:f>Sheet1!$B$7</c:f>
                <c:numCache>
                  <c:formatCode>General</c:formatCode>
                  <c:ptCount val="1"/>
                  <c:pt idx="0">
                    <c:v>0.19366</c:v>
                  </c:pt>
                </c:numCache>
              </c:numRef>
            </c:plus>
            <c:minus>
              <c:numRef>
                <c:f>Sheet1!$B$7</c:f>
                <c:numCache>
                  <c:formatCode>General</c:formatCode>
                  <c:ptCount val="1"/>
                  <c:pt idx="0">
                    <c:v>0.19366</c:v>
                  </c:pt>
                </c:numCache>
              </c:numRef>
            </c:minus>
          </c:errBars>
          <c:xVal>
            <c:numRef>
              <c:f>Sheet1!$E$14:$E$15</c:f>
              <c:numCache>
                <c:formatCode>General</c:formatCode>
                <c:ptCount val="2"/>
                <c:pt idx="0">
                  <c:v>0</c:v>
                </c:pt>
                <c:pt idx="1">
                  <c:v>10</c:v>
                </c:pt>
              </c:numCache>
            </c:numRef>
          </c:xVal>
          <c:yVal>
            <c:numRef>
              <c:f>Sheet1!$G$14:$G$15</c:f>
              <c:numCache>
                <c:formatCode>General</c:formatCode>
                <c:ptCount val="2"/>
                <c:pt idx="0">
                  <c:v>3.4002520000000001</c:v>
                </c:pt>
                <c:pt idx="1">
                  <c:v>-2.5753080000000002</c:v>
                </c:pt>
              </c:numCache>
            </c:numRef>
          </c:yVal>
          <c:smooth val="0"/>
          <c:extLst xmlns:c16r2="http://schemas.microsoft.com/office/drawing/2015/06/chart">
            <c:ext xmlns:c16="http://schemas.microsoft.com/office/drawing/2014/chart" uri="{C3380CC4-5D6E-409C-BE32-E72D297353CC}">
              <c16:uniqueId val="{00000001-B7FB-42E2-BCF6-C64259FC323E}"/>
            </c:ext>
          </c:extLst>
        </c:ser>
        <c:dLbls>
          <c:showLegendKey val="0"/>
          <c:showVal val="0"/>
          <c:showCatName val="0"/>
          <c:showSerName val="0"/>
          <c:showPercent val="0"/>
          <c:showBubbleSize val="0"/>
        </c:dLbls>
        <c:axId val="635092808"/>
        <c:axId val="635093984"/>
      </c:scatterChart>
      <c:valAx>
        <c:axId val="635092808"/>
        <c:scaling>
          <c:orientation val="minMax"/>
        </c:scaling>
        <c:delete val="0"/>
        <c:axPos val="b"/>
        <c:title>
          <c:tx>
            <c:rich>
              <a:bodyPr/>
              <a:lstStyle/>
              <a:p>
                <a:pPr>
                  <a:defRPr/>
                </a:pPr>
                <a:r>
                  <a:rPr lang="en-US" sz="1100"/>
                  <a:t>Partner's Use of Avoidance </a:t>
                </a:r>
                <a:r>
                  <a:rPr lang="en-US" sz="1100" baseline="0"/>
                  <a:t>Across Diary</a:t>
                </a:r>
                <a:endParaRPr lang="en-US" sz="1100"/>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5093984"/>
        <c:crossesAt val="-30"/>
        <c:crossBetween val="midCat"/>
      </c:valAx>
      <c:valAx>
        <c:axId val="635093984"/>
        <c:scaling>
          <c:orientation val="minMax"/>
        </c:scaling>
        <c:delete val="0"/>
        <c:axPos val="l"/>
        <c:majorGridlines/>
        <c:title>
          <c:tx>
            <c:rich>
              <a:bodyPr rot="-5400000" vert="horz"/>
              <a:lstStyle/>
              <a:p>
                <a:pPr>
                  <a:defRPr/>
                </a:pPr>
                <a:r>
                  <a:rPr lang="en-US"/>
                  <a:t>Actor's</a:t>
                </a:r>
                <a:r>
                  <a:rPr lang="en-US" baseline="0"/>
                  <a:t> Daily Depressive Symptoms</a:t>
                </a:r>
                <a:endParaRPr lang="en-US"/>
              </a:p>
            </c:rich>
          </c:tx>
          <c:overlay val="0"/>
        </c:title>
        <c:numFmt formatCode="General" sourceLinked="1"/>
        <c:majorTickMark val="out"/>
        <c:minorTickMark val="none"/>
        <c:tickLblPos val="nextTo"/>
        <c:crossAx val="635092808"/>
        <c:crosses val="autoZero"/>
        <c:crossBetween val="midCat"/>
      </c:valAx>
    </c:plotArea>
    <c:legend>
      <c:legendPos val="r"/>
      <c:layout>
        <c:manualLayout>
          <c:xMode val="edge"/>
          <c:yMode val="edge"/>
          <c:x val="0.69598606006056596"/>
          <c:y val="0.21417380342196701"/>
          <c:w val="0.30401393993943399"/>
          <c:h val="0.40828304657674602"/>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Not Serious</c:v>
                </c:pt>
              </c:strCache>
            </c:strRef>
          </c:tx>
          <c:spPr>
            <a:solidFill>
              <a:schemeClr val="tx1"/>
            </a:solidFill>
            <a:ln>
              <a:solidFill>
                <a:schemeClr val="bg1">
                  <a:lumMod val="65000"/>
                </a:schemeClr>
              </a:solidFill>
              <a:prstDash val="sysDash"/>
            </a:ln>
          </c:spPr>
          <c:invertIfNegative val="0"/>
          <c:errBars>
            <c:errBarType val="both"/>
            <c:errValType val="cust"/>
            <c:noEndCap val="0"/>
            <c:plus>
              <c:numRef>
                <c:f>Sheet1!$B$10</c:f>
                <c:numCache>
                  <c:formatCode>General</c:formatCode>
                  <c:ptCount val="1"/>
                  <c:pt idx="0">
                    <c:v>1.7346459999999999</c:v>
                  </c:pt>
                </c:numCache>
              </c:numRef>
            </c:plus>
            <c:minus>
              <c:numRef>
                <c:f>Sheet1!$B$10</c:f>
                <c:numCache>
                  <c:formatCode>General</c:formatCode>
                  <c:ptCount val="1"/>
                  <c:pt idx="0">
                    <c:v>1.7346459999999999</c:v>
                  </c:pt>
                </c:numCache>
              </c:numRef>
            </c:minus>
          </c:errBars>
          <c:cat>
            <c:numRef>
              <c:f>Sheet1!$E$14:$E$15</c:f>
              <c:numCache>
                <c:formatCode>General</c:formatCode>
                <c:ptCount val="2"/>
                <c:pt idx="0">
                  <c:v>0</c:v>
                </c:pt>
                <c:pt idx="1">
                  <c:v>1</c:v>
                </c:pt>
              </c:numCache>
            </c:numRef>
          </c:cat>
          <c:val>
            <c:numRef>
              <c:f>Sheet1!$F$14:$F$15</c:f>
              <c:numCache>
                <c:formatCode>General</c:formatCode>
                <c:ptCount val="2"/>
                <c:pt idx="0">
                  <c:v>16.42943</c:v>
                </c:pt>
                <c:pt idx="1">
                  <c:v>15.881683000000001</c:v>
                </c:pt>
              </c:numCache>
            </c:numRef>
          </c:val>
          <c:extLst xmlns:c16r2="http://schemas.microsoft.com/office/drawing/2015/06/chart">
            <c:ext xmlns:c16="http://schemas.microsoft.com/office/drawing/2014/chart" uri="{C3380CC4-5D6E-409C-BE32-E72D297353CC}">
              <c16:uniqueId val="{00000000-E1FE-4FEC-8AEC-8779C82F586E}"/>
            </c:ext>
          </c:extLst>
        </c:ser>
        <c:ser>
          <c:idx val="1"/>
          <c:order val="1"/>
          <c:tx>
            <c:strRef>
              <c:f>Sheet1!$G$13</c:f>
              <c:strCache>
                <c:ptCount val="1"/>
                <c:pt idx="0">
                  <c:v>Serious</c:v>
                </c:pt>
              </c:strCache>
            </c:strRef>
          </c:tx>
          <c:spPr>
            <a:pattFill prst="pct50">
              <a:fgClr>
                <a:schemeClr val="tx1"/>
              </a:fgClr>
              <a:bgClr>
                <a:schemeClr val="bg1"/>
              </a:bgClr>
            </a:pattFill>
            <a:ln>
              <a:solidFill>
                <a:schemeClr val="tx1"/>
              </a:solidFill>
              <a:prstDash val="solid"/>
            </a:ln>
          </c:spPr>
          <c:invertIfNegative val="0"/>
          <c:errBars>
            <c:errBarType val="both"/>
            <c:errValType val="cust"/>
            <c:noEndCap val="0"/>
            <c:plus>
              <c:numRef>
                <c:f>Sheet1!$B$7</c:f>
                <c:numCache>
                  <c:formatCode>General</c:formatCode>
                  <c:ptCount val="1"/>
                  <c:pt idx="0">
                    <c:v>1.6457310000000001</c:v>
                  </c:pt>
                </c:numCache>
              </c:numRef>
            </c:plus>
            <c:minus>
              <c:numRef>
                <c:f>Sheet1!$B$7</c:f>
                <c:numCache>
                  <c:formatCode>General</c:formatCode>
                  <c:ptCount val="1"/>
                  <c:pt idx="0">
                    <c:v>1.6457310000000001</c:v>
                  </c:pt>
                </c:numCache>
              </c:numRef>
            </c:minus>
          </c:errBars>
          <c:cat>
            <c:numRef>
              <c:f>Sheet1!$E$14:$E$15</c:f>
              <c:numCache>
                <c:formatCode>General</c:formatCode>
                <c:ptCount val="2"/>
                <c:pt idx="0">
                  <c:v>0</c:v>
                </c:pt>
                <c:pt idx="1">
                  <c:v>1</c:v>
                </c:pt>
              </c:numCache>
            </c:numRef>
          </c:cat>
          <c:val>
            <c:numRef>
              <c:f>Sheet1!$G$14:$G$15</c:f>
              <c:numCache>
                <c:formatCode>General</c:formatCode>
                <c:ptCount val="2"/>
                <c:pt idx="0">
                  <c:v>8.6896740000000001</c:v>
                </c:pt>
                <c:pt idx="1">
                  <c:v>15.288069</c:v>
                </c:pt>
              </c:numCache>
            </c:numRef>
          </c:val>
          <c:extLst xmlns:c16r2="http://schemas.microsoft.com/office/drawing/2015/06/chart">
            <c:ext xmlns:c16="http://schemas.microsoft.com/office/drawing/2014/chart" uri="{C3380CC4-5D6E-409C-BE32-E72D297353CC}">
              <c16:uniqueId val="{00000001-E1FE-4FEC-8AEC-8779C82F586E}"/>
            </c:ext>
          </c:extLst>
        </c:ser>
        <c:dLbls>
          <c:showLegendKey val="0"/>
          <c:showVal val="0"/>
          <c:showCatName val="0"/>
          <c:showSerName val="0"/>
          <c:showPercent val="0"/>
          <c:showBubbleSize val="0"/>
        </c:dLbls>
        <c:gapWidth val="150"/>
        <c:axId val="635094768"/>
        <c:axId val="635095552"/>
      </c:barChart>
      <c:catAx>
        <c:axId val="635094768"/>
        <c:scaling>
          <c:orientation val="minMax"/>
        </c:scaling>
        <c:delete val="0"/>
        <c:axPos val="b"/>
        <c:title>
          <c:tx>
            <c:rich>
              <a:bodyPr/>
              <a:lstStyle/>
              <a:p>
                <a:pPr>
                  <a:defRPr/>
                </a:pPr>
                <a:r>
                  <a:rPr lang="en-US" sz="1100"/>
                  <a:t>Actor </a:t>
                </a:r>
                <a:r>
                  <a:rPr lang="en-US" sz="1100" baseline="0"/>
                  <a:t>Uses Active Repair</a:t>
                </a:r>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5095552"/>
        <c:crossesAt val="0"/>
        <c:auto val="1"/>
        <c:lblAlgn val="ctr"/>
        <c:lblOffset val="100"/>
        <c:noMultiLvlLbl val="1"/>
      </c:catAx>
      <c:valAx>
        <c:axId val="635095552"/>
        <c:scaling>
          <c:orientation val="minMax"/>
        </c:scaling>
        <c:delete val="0"/>
        <c:axPos val="l"/>
        <c:majorGridlines/>
        <c:title>
          <c:tx>
            <c:rich>
              <a:bodyPr rot="-5400000" vert="horz"/>
              <a:lstStyle/>
              <a:p>
                <a:pPr>
                  <a:defRPr/>
                </a:pPr>
                <a:r>
                  <a:rPr lang="en-US"/>
                  <a:t>Actor's Daily Positive Affect</a:t>
                </a:r>
              </a:p>
            </c:rich>
          </c:tx>
          <c:overlay val="0"/>
        </c:title>
        <c:numFmt formatCode="General" sourceLinked="1"/>
        <c:majorTickMark val="out"/>
        <c:minorTickMark val="none"/>
        <c:tickLblPos val="nextTo"/>
        <c:crossAx val="635094768"/>
        <c:crosses val="autoZero"/>
        <c:crossBetween val="between"/>
      </c:valAx>
    </c:plotArea>
    <c:legend>
      <c:legendPos val="r"/>
      <c:layout>
        <c:manualLayout>
          <c:xMode val="edge"/>
          <c:yMode val="edge"/>
          <c:x val="0.76223270820237998"/>
          <c:y val="0.34753665791776001"/>
          <c:w val="0.23776729179761999"/>
          <c:h val="0.21442819061660401"/>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Low Global Satisfaction</c:v>
                </c:pt>
              </c:strCache>
            </c:strRef>
          </c:tx>
          <c:spPr>
            <a:solidFill>
              <a:schemeClr val="tx1"/>
            </a:solidFill>
            <a:ln>
              <a:solidFill>
                <a:schemeClr val="bg1">
                  <a:lumMod val="65000"/>
                </a:schemeClr>
              </a:solidFill>
              <a:prstDash val="sysDash"/>
            </a:ln>
          </c:spPr>
          <c:invertIfNegative val="0"/>
          <c:errBars>
            <c:errBarType val="both"/>
            <c:errValType val="cust"/>
            <c:noEndCap val="0"/>
            <c:plus>
              <c:numRef>
                <c:f>Sheet1!$B$10</c:f>
                <c:numCache>
                  <c:formatCode>General</c:formatCode>
                  <c:ptCount val="1"/>
                  <c:pt idx="0">
                    <c:v>1.193559</c:v>
                  </c:pt>
                </c:numCache>
              </c:numRef>
            </c:plus>
            <c:minus>
              <c:numRef>
                <c:f>Sheet1!$B$10</c:f>
                <c:numCache>
                  <c:formatCode>General</c:formatCode>
                  <c:ptCount val="1"/>
                  <c:pt idx="0">
                    <c:v>1.193559</c:v>
                  </c:pt>
                </c:numCache>
              </c:numRef>
            </c:minus>
          </c:errBars>
          <c:cat>
            <c:numRef>
              <c:f>Sheet1!$E$14:$E$15</c:f>
              <c:numCache>
                <c:formatCode>General</c:formatCode>
                <c:ptCount val="2"/>
                <c:pt idx="0">
                  <c:v>0</c:v>
                </c:pt>
                <c:pt idx="1">
                  <c:v>1</c:v>
                </c:pt>
              </c:numCache>
            </c:numRef>
          </c:cat>
          <c:val>
            <c:numRef>
              <c:f>Sheet1!$F$14:$F$15</c:f>
              <c:numCache>
                <c:formatCode>General</c:formatCode>
                <c:ptCount val="2"/>
                <c:pt idx="0">
                  <c:v>13.562215999999999</c:v>
                </c:pt>
                <c:pt idx="1">
                  <c:v>16.739324</c:v>
                </c:pt>
              </c:numCache>
            </c:numRef>
          </c:val>
          <c:extLst xmlns:c16r2="http://schemas.microsoft.com/office/drawing/2015/06/chart">
            <c:ext xmlns:c16="http://schemas.microsoft.com/office/drawing/2014/chart" uri="{C3380CC4-5D6E-409C-BE32-E72D297353CC}">
              <c16:uniqueId val="{00000000-0E81-46FB-A618-86991CE23D11}"/>
            </c:ext>
          </c:extLst>
        </c:ser>
        <c:ser>
          <c:idx val="1"/>
          <c:order val="1"/>
          <c:tx>
            <c:strRef>
              <c:f>Sheet1!$G$13</c:f>
              <c:strCache>
                <c:ptCount val="1"/>
                <c:pt idx="0">
                  <c:v>High Global Satisfaction</c:v>
                </c:pt>
              </c:strCache>
            </c:strRef>
          </c:tx>
          <c:spPr>
            <a:pattFill prst="pct50">
              <a:fgClr>
                <a:schemeClr val="tx1"/>
              </a:fgClr>
              <a:bgClr>
                <a:schemeClr val="bg1"/>
              </a:bgClr>
            </a:pattFill>
            <a:ln>
              <a:solidFill>
                <a:schemeClr val="tx1"/>
              </a:solidFill>
              <a:prstDash val="solid"/>
            </a:ln>
          </c:spPr>
          <c:invertIfNegative val="0"/>
          <c:errBars>
            <c:errBarType val="both"/>
            <c:errValType val="cust"/>
            <c:noEndCap val="0"/>
            <c:plus>
              <c:numRef>
                <c:f>Sheet1!$B$7</c:f>
                <c:numCache>
                  <c:formatCode>General</c:formatCode>
                  <c:ptCount val="1"/>
                  <c:pt idx="0">
                    <c:v>1.247714</c:v>
                  </c:pt>
                </c:numCache>
              </c:numRef>
            </c:plus>
            <c:minus>
              <c:numRef>
                <c:f>Sheet1!$B$7</c:f>
                <c:numCache>
                  <c:formatCode>General</c:formatCode>
                  <c:ptCount val="1"/>
                  <c:pt idx="0">
                    <c:v>1.247714</c:v>
                  </c:pt>
                </c:numCache>
              </c:numRef>
            </c:minus>
          </c:errBars>
          <c:cat>
            <c:numRef>
              <c:f>Sheet1!$E$14:$E$15</c:f>
              <c:numCache>
                <c:formatCode>General</c:formatCode>
                <c:ptCount val="2"/>
                <c:pt idx="0">
                  <c:v>0</c:v>
                </c:pt>
                <c:pt idx="1">
                  <c:v>1</c:v>
                </c:pt>
              </c:numCache>
            </c:numRef>
          </c:cat>
          <c:val>
            <c:numRef>
              <c:f>Sheet1!$G$14:$G$15</c:f>
              <c:numCache>
                <c:formatCode>General</c:formatCode>
                <c:ptCount val="2"/>
                <c:pt idx="0">
                  <c:v>21.066917</c:v>
                </c:pt>
                <c:pt idx="1">
                  <c:v>20.327670999999999</c:v>
                </c:pt>
              </c:numCache>
            </c:numRef>
          </c:val>
          <c:extLst xmlns:c16r2="http://schemas.microsoft.com/office/drawing/2015/06/chart">
            <c:ext xmlns:c16="http://schemas.microsoft.com/office/drawing/2014/chart" uri="{C3380CC4-5D6E-409C-BE32-E72D297353CC}">
              <c16:uniqueId val="{00000001-0E81-46FB-A618-86991CE23D11}"/>
            </c:ext>
          </c:extLst>
        </c:ser>
        <c:dLbls>
          <c:showLegendKey val="0"/>
          <c:showVal val="0"/>
          <c:showCatName val="0"/>
          <c:showSerName val="0"/>
          <c:showPercent val="0"/>
          <c:showBubbleSize val="0"/>
        </c:dLbls>
        <c:gapWidth val="150"/>
        <c:axId val="485118840"/>
        <c:axId val="485120800"/>
      </c:barChart>
      <c:catAx>
        <c:axId val="485118840"/>
        <c:scaling>
          <c:orientation val="minMax"/>
        </c:scaling>
        <c:delete val="0"/>
        <c:axPos val="b"/>
        <c:title>
          <c:tx>
            <c:rich>
              <a:bodyPr/>
              <a:lstStyle/>
              <a:p>
                <a:pPr>
                  <a:defRPr/>
                </a:pPr>
                <a:r>
                  <a:rPr lang="en-US" sz="1100"/>
                  <a:t>Partner </a:t>
                </a:r>
                <a:r>
                  <a:rPr lang="en-US" sz="1100" baseline="0"/>
                  <a:t>Uses Active Repair</a:t>
                </a:r>
              </a:p>
            </c:rich>
          </c:tx>
          <c:layout>
            <c:manualLayout>
              <c:xMode val="edge"/>
              <c:yMode val="edge"/>
              <c:x val="0.21349265856444899"/>
              <c:y val="0.92384831401410905"/>
            </c:manualLayout>
          </c:layout>
          <c:overlay val="0"/>
        </c:title>
        <c:numFmt formatCode="General" sourceLinked="1"/>
        <c:majorTickMark val="out"/>
        <c:minorTickMark val="none"/>
        <c:tickLblPos val="nextTo"/>
        <c:crossAx val="485120800"/>
        <c:crossesAt val="0"/>
        <c:auto val="1"/>
        <c:lblAlgn val="ctr"/>
        <c:lblOffset val="100"/>
        <c:noMultiLvlLbl val="1"/>
      </c:catAx>
      <c:valAx>
        <c:axId val="485120800"/>
        <c:scaling>
          <c:orientation val="minMax"/>
        </c:scaling>
        <c:delete val="0"/>
        <c:axPos val="l"/>
        <c:majorGridlines/>
        <c:title>
          <c:tx>
            <c:rich>
              <a:bodyPr rot="-5400000" vert="horz"/>
              <a:lstStyle/>
              <a:p>
                <a:pPr>
                  <a:defRPr/>
                </a:pPr>
                <a:r>
                  <a:rPr lang="en-US"/>
                  <a:t>Actor's Daily Understanding/Appreciation</a:t>
                </a:r>
              </a:p>
            </c:rich>
          </c:tx>
          <c:overlay val="0"/>
        </c:title>
        <c:numFmt formatCode="General" sourceLinked="1"/>
        <c:majorTickMark val="out"/>
        <c:minorTickMark val="none"/>
        <c:tickLblPos val="nextTo"/>
        <c:crossAx val="485118840"/>
        <c:crosses val="autoZero"/>
        <c:crossBetween val="between"/>
      </c:valAx>
    </c:plotArea>
    <c:legend>
      <c:legendPos val="r"/>
      <c:layout>
        <c:manualLayout>
          <c:xMode val="edge"/>
          <c:yMode val="edge"/>
          <c:x val="0.65088852354409199"/>
          <c:y val="0.34753665791776001"/>
          <c:w val="0.34911147645590801"/>
          <c:h val="0.21442819061660401"/>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Not Serious</c:v>
                </c:pt>
              </c:strCache>
            </c:strRef>
          </c:tx>
          <c:spPr>
            <a:solidFill>
              <a:schemeClr val="tx1"/>
            </a:solidFill>
            <a:ln>
              <a:solidFill>
                <a:schemeClr val="bg1">
                  <a:lumMod val="65000"/>
                </a:schemeClr>
              </a:solidFill>
              <a:prstDash val="sysDash"/>
            </a:ln>
          </c:spPr>
          <c:invertIfNegative val="0"/>
          <c:errBars>
            <c:errBarType val="both"/>
            <c:errValType val="cust"/>
            <c:noEndCap val="0"/>
            <c:plus>
              <c:numRef>
                <c:f>Sheet1!$B$10</c:f>
                <c:numCache>
                  <c:formatCode>General</c:formatCode>
                  <c:ptCount val="1"/>
                  <c:pt idx="0">
                    <c:v>0.64525200000000005</c:v>
                  </c:pt>
                </c:numCache>
              </c:numRef>
            </c:plus>
            <c:minus>
              <c:numRef>
                <c:f>Sheet1!$B$10</c:f>
                <c:numCache>
                  <c:formatCode>General</c:formatCode>
                  <c:ptCount val="1"/>
                  <c:pt idx="0">
                    <c:v>0.64525200000000005</c:v>
                  </c:pt>
                </c:numCache>
              </c:numRef>
            </c:minus>
          </c:errBars>
          <c:cat>
            <c:numRef>
              <c:f>Sheet1!$E$14:$E$15</c:f>
              <c:numCache>
                <c:formatCode>General</c:formatCode>
                <c:ptCount val="2"/>
                <c:pt idx="0">
                  <c:v>0</c:v>
                </c:pt>
                <c:pt idx="1">
                  <c:v>1</c:v>
                </c:pt>
              </c:numCache>
            </c:numRef>
          </c:cat>
          <c:val>
            <c:numRef>
              <c:f>Sheet1!$F$14:$F$15</c:f>
              <c:numCache>
                <c:formatCode>General</c:formatCode>
                <c:ptCount val="2"/>
                <c:pt idx="0">
                  <c:v>18.291716000000001</c:v>
                </c:pt>
                <c:pt idx="1">
                  <c:v>18.100093000000001</c:v>
                </c:pt>
              </c:numCache>
            </c:numRef>
          </c:val>
          <c:extLst xmlns:c16r2="http://schemas.microsoft.com/office/drawing/2015/06/chart">
            <c:ext xmlns:c16="http://schemas.microsoft.com/office/drawing/2014/chart" uri="{C3380CC4-5D6E-409C-BE32-E72D297353CC}">
              <c16:uniqueId val="{00000000-EB21-48AD-B3B0-06BB73C27C5E}"/>
            </c:ext>
          </c:extLst>
        </c:ser>
        <c:ser>
          <c:idx val="1"/>
          <c:order val="1"/>
          <c:tx>
            <c:strRef>
              <c:f>Sheet1!$G$13</c:f>
              <c:strCache>
                <c:ptCount val="1"/>
                <c:pt idx="0">
                  <c:v>Serious</c:v>
                </c:pt>
              </c:strCache>
            </c:strRef>
          </c:tx>
          <c:spPr>
            <a:pattFill prst="pct50">
              <a:fgClr>
                <a:schemeClr val="tx1"/>
              </a:fgClr>
              <a:bgClr>
                <a:schemeClr val="bg1"/>
              </a:bgClr>
            </a:pattFill>
            <a:ln>
              <a:solidFill>
                <a:schemeClr val="tx1"/>
              </a:solidFill>
              <a:prstDash val="solid"/>
            </a:ln>
          </c:spPr>
          <c:invertIfNegative val="0"/>
          <c:errBars>
            <c:errBarType val="both"/>
            <c:errValType val="cust"/>
            <c:noEndCap val="0"/>
            <c:plus>
              <c:numRef>
                <c:f>Sheet1!$B$7</c:f>
                <c:numCache>
                  <c:formatCode>General</c:formatCode>
                  <c:ptCount val="1"/>
                  <c:pt idx="0">
                    <c:v>0.60084499999999996</c:v>
                  </c:pt>
                </c:numCache>
              </c:numRef>
            </c:plus>
            <c:minus>
              <c:numRef>
                <c:f>Sheet1!$B$7</c:f>
                <c:numCache>
                  <c:formatCode>General</c:formatCode>
                  <c:ptCount val="1"/>
                  <c:pt idx="0">
                    <c:v>0.60084499999999996</c:v>
                  </c:pt>
                </c:numCache>
              </c:numRef>
            </c:minus>
          </c:errBars>
          <c:cat>
            <c:numRef>
              <c:f>Sheet1!$E$14:$E$15</c:f>
              <c:numCache>
                <c:formatCode>General</c:formatCode>
                <c:ptCount val="2"/>
                <c:pt idx="0">
                  <c:v>0</c:v>
                </c:pt>
                <c:pt idx="1">
                  <c:v>1</c:v>
                </c:pt>
              </c:numCache>
            </c:numRef>
          </c:cat>
          <c:val>
            <c:numRef>
              <c:f>Sheet1!$G$14:$G$15</c:f>
              <c:numCache>
                <c:formatCode>General</c:formatCode>
                <c:ptCount val="2"/>
                <c:pt idx="0">
                  <c:v>16.554753999999999</c:v>
                </c:pt>
                <c:pt idx="1">
                  <c:v>18.254124000000001</c:v>
                </c:pt>
              </c:numCache>
            </c:numRef>
          </c:val>
          <c:extLst xmlns:c16r2="http://schemas.microsoft.com/office/drawing/2015/06/chart">
            <c:ext xmlns:c16="http://schemas.microsoft.com/office/drawing/2014/chart" uri="{C3380CC4-5D6E-409C-BE32-E72D297353CC}">
              <c16:uniqueId val="{00000001-EB21-48AD-B3B0-06BB73C27C5E}"/>
            </c:ext>
          </c:extLst>
        </c:ser>
        <c:dLbls>
          <c:showLegendKey val="0"/>
          <c:showVal val="0"/>
          <c:showCatName val="0"/>
          <c:showSerName val="0"/>
          <c:showPercent val="0"/>
          <c:showBubbleSize val="0"/>
        </c:dLbls>
        <c:gapWidth val="150"/>
        <c:axId val="635098480"/>
        <c:axId val="635098872"/>
      </c:barChart>
      <c:catAx>
        <c:axId val="635098480"/>
        <c:scaling>
          <c:orientation val="minMax"/>
        </c:scaling>
        <c:delete val="0"/>
        <c:axPos val="b"/>
        <c:title>
          <c:tx>
            <c:rich>
              <a:bodyPr/>
              <a:lstStyle/>
              <a:p>
                <a:pPr>
                  <a:defRPr/>
                </a:pPr>
                <a:r>
                  <a:rPr lang="en-US" sz="1100"/>
                  <a:t>Partner </a:t>
                </a:r>
                <a:r>
                  <a:rPr lang="en-US" sz="1100" baseline="0"/>
                  <a:t>Uses Active Repair</a:t>
                </a:r>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5098872"/>
        <c:crossesAt val="0"/>
        <c:auto val="1"/>
        <c:lblAlgn val="ctr"/>
        <c:lblOffset val="100"/>
        <c:noMultiLvlLbl val="1"/>
      </c:catAx>
      <c:valAx>
        <c:axId val="635098872"/>
        <c:scaling>
          <c:orientation val="minMax"/>
        </c:scaling>
        <c:delete val="0"/>
        <c:axPos val="l"/>
        <c:majorGridlines/>
        <c:title>
          <c:tx>
            <c:rich>
              <a:bodyPr rot="-5400000" vert="horz"/>
              <a:lstStyle/>
              <a:p>
                <a:pPr>
                  <a:defRPr/>
                </a:pPr>
                <a:r>
                  <a:rPr lang="en-US"/>
                  <a:t>Actor's Daily Relationship</a:t>
                </a:r>
                <a:r>
                  <a:rPr lang="en-US" baseline="0"/>
                  <a:t> Satisfaction</a:t>
                </a:r>
                <a:endParaRPr lang="en-US"/>
              </a:p>
            </c:rich>
          </c:tx>
          <c:overlay val="0"/>
        </c:title>
        <c:numFmt formatCode="General" sourceLinked="1"/>
        <c:majorTickMark val="out"/>
        <c:minorTickMark val="none"/>
        <c:tickLblPos val="nextTo"/>
        <c:crossAx val="635098480"/>
        <c:crosses val="autoZero"/>
        <c:crossBetween val="between"/>
      </c:valAx>
    </c:plotArea>
    <c:legend>
      <c:legendPos val="r"/>
      <c:layout>
        <c:manualLayout>
          <c:xMode val="edge"/>
          <c:yMode val="edge"/>
          <c:x val="0.76223270820237998"/>
          <c:y val="0.34753665791776001"/>
          <c:w val="0.23776729179761999"/>
          <c:h val="0.21442819061660401"/>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0"/>
          <c:order val="0"/>
          <c:tx>
            <c:strRef>
              <c:f>Sheet1!$F$13</c:f>
              <c:strCache>
                <c:ptCount val="1"/>
                <c:pt idx="0">
                  <c:v>Not Serious</c:v>
                </c:pt>
              </c:strCache>
            </c:strRef>
          </c:tx>
          <c:spPr>
            <a:ln>
              <a:solidFill>
                <a:schemeClr val="bg1">
                  <a:lumMod val="65000"/>
                </a:schemeClr>
              </a:solidFill>
              <a:prstDash val="sysDash"/>
            </a:ln>
          </c:spPr>
          <c:marker>
            <c:symbol val="none"/>
          </c:marker>
          <c:errBars>
            <c:errDir val="y"/>
            <c:errBarType val="both"/>
            <c:errValType val="cust"/>
            <c:noEndCap val="0"/>
            <c:plus>
              <c:numRef>
                <c:f>Sheet1!$B$10</c:f>
                <c:numCache>
                  <c:formatCode>General</c:formatCode>
                  <c:ptCount val="1"/>
                  <c:pt idx="0">
                    <c:v>0.70291800000000004</c:v>
                  </c:pt>
                </c:numCache>
              </c:numRef>
            </c:plus>
            <c:minus>
              <c:numRef>
                <c:f>Sheet1!$B$10</c:f>
                <c:numCache>
                  <c:formatCode>General</c:formatCode>
                  <c:ptCount val="1"/>
                  <c:pt idx="0">
                    <c:v>0.70291800000000004</c:v>
                  </c:pt>
                </c:numCache>
              </c:numRef>
            </c:minus>
          </c:errBars>
          <c:xVal>
            <c:numRef>
              <c:f>Sheet1!$E$14:$E$15</c:f>
              <c:numCache>
                <c:formatCode>General</c:formatCode>
                <c:ptCount val="2"/>
                <c:pt idx="0">
                  <c:v>0</c:v>
                </c:pt>
                <c:pt idx="1">
                  <c:v>10</c:v>
                </c:pt>
              </c:numCache>
            </c:numRef>
          </c:xVal>
          <c:yVal>
            <c:numRef>
              <c:f>Sheet1!$F$14:$F$15</c:f>
              <c:numCache>
                <c:formatCode>General</c:formatCode>
                <c:ptCount val="2"/>
                <c:pt idx="0">
                  <c:v>16.42943</c:v>
                </c:pt>
                <c:pt idx="1">
                  <c:v>6.7320799999999998</c:v>
                </c:pt>
              </c:numCache>
            </c:numRef>
          </c:yVal>
          <c:smooth val="0"/>
          <c:extLst xmlns:c16r2="http://schemas.microsoft.com/office/drawing/2015/06/chart">
            <c:ext xmlns:c16="http://schemas.microsoft.com/office/drawing/2014/chart" uri="{C3380CC4-5D6E-409C-BE32-E72D297353CC}">
              <c16:uniqueId val="{00000000-30D9-42DD-A86E-607DAB341F2E}"/>
            </c:ext>
          </c:extLst>
        </c:ser>
        <c:ser>
          <c:idx val="1"/>
          <c:order val="1"/>
          <c:tx>
            <c:strRef>
              <c:f>Sheet1!$G$13</c:f>
              <c:strCache>
                <c:ptCount val="1"/>
                <c:pt idx="0">
                  <c:v>Serious</c:v>
                </c:pt>
              </c:strCache>
            </c:strRef>
          </c:tx>
          <c:spPr>
            <a:ln>
              <a:solidFill>
                <a:schemeClr val="tx1"/>
              </a:solidFill>
              <a:prstDash val="solid"/>
            </a:ln>
          </c:spPr>
          <c:marker>
            <c:symbol val="none"/>
          </c:marker>
          <c:errBars>
            <c:errDir val="y"/>
            <c:errBarType val="both"/>
            <c:errValType val="cust"/>
            <c:noEndCap val="0"/>
            <c:plus>
              <c:numRef>
                <c:f>Sheet1!$B$7</c:f>
                <c:numCache>
                  <c:formatCode>General</c:formatCode>
                  <c:ptCount val="1"/>
                  <c:pt idx="0">
                    <c:v>0.72420899999999999</c:v>
                  </c:pt>
                </c:numCache>
              </c:numRef>
            </c:plus>
            <c:minus>
              <c:numRef>
                <c:f>Sheet1!$B$7</c:f>
                <c:numCache>
                  <c:formatCode>General</c:formatCode>
                  <c:ptCount val="1"/>
                  <c:pt idx="0">
                    <c:v>0.72420899999999999</c:v>
                  </c:pt>
                </c:numCache>
              </c:numRef>
            </c:minus>
          </c:errBars>
          <c:xVal>
            <c:numRef>
              <c:f>Sheet1!$E$14:$E$15</c:f>
              <c:numCache>
                <c:formatCode>General</c:formatCode>
                <c:ptCount val="2"/>
                <c:pt idx="0">
                  <c:v>0</c:v>
                </c:pt>
                <c:pt idx="1">
                  <c:v>10</c:v>
                </c:pt>
              </c:numCache>
            </c:numRef>
          </c:xVal>
          <c:yVal>
            <c:numRef>
              <c:f>Sheet1!$G$14:$G$15</c:f>
              <c:numCache>
                <c:formatCode>General</c:formatCode>
                <c:ptCount val="2"/>
                <c:pt idx="0">
                  <c:v>8.6896740000000001</c:v>
                </c:pt>
                <c:pt idx="1">
                  <c:v>19.561924000000001</c:v>
                </c:pt>
              </c:numCache>
            </c:numRef>
          </c:yVal>
          <c:smooth val="0"/>
          <c:extLst xmlns:c16r2="http://schemas.microsoft.com/office/drawing/2015/06/chart">
            <c:ext xmlns:c16="http://schemas.microsoft.com/office/drawing/2014/chart" uri="{C3380CC4-5D6E-409C-BE32-E72D297353CC}">
              <c16:uniqueId val="{00000001-30D9-42DD-A86E-607DAB341F2E}"/>
            </c:ext>
          </c:extLst>
        </c:ser>
        <c:dLbls>
          <c:showLegendKey val="0"/>
          <c:showVal val="0"/>
          <c:showCatName val="0"/>
          <c:showSerName val="0"/>
          <c:showPercent val="0"/>
          <c:showBubbleSize val="0"/>
        </c:dLbls>
        <c:axId val="635099264"/>
        <c:axId val="635097696"/>
      </c:scatterChart>
      <c:valAx>
        <c:axId val="635099264"/>
        <c:scaling>
          <c:orientation val="minMax"/>
        </c:scaling>
        <c:delete val="0"/>
        <c:axPos val="b"/>
        <c:title>
          <c:tx>
            <c:rich>
              <a:bodyPr/>
              <a:lstStyle/>
              <a:p>
                <a:pPr>
                  <a:defRPr/>
                </a:pPr>
                <a:r>
                  <a:rPr lang="en-US" sz="1100"/>
                  <a:t>Partner's Use</a:t>
                </a:r>
                <a:r>
                  <a:rPr lang="en-US" sz="1100" baseline="0"/>
                  <a:t> of Active Repair Across Diary</a:t>
                </a:r>
                <a:endParaRPr lang="en-US" sz="1100"/>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5097696"/>
        <c:crossesAt val="-30"/>
        <c:crossBetween val="midCat"/>
      </c:valAx>
      <c:valAx>
        <c:axId val="635097696"/>
        <c:scaling>
          <c:orientation val="minMax"/>
        </c:scaling>
        <c:delete val="0"/>
        <c:axPos val="l"/>
        <c:majorGridlines/>
        <c:title>
          <c:tx>
            <c:rich>
              <a:bodyPr rot="-5400000" vert="horz"/>
              <a:lstStyle/>
              <a:p>
                <a:pPr>
                  <a:defRPr/>
                </a:pPr>
                <a:r>
                  <a:rPr lang="en-US"/>
                  <a:t>Actor's</a:t>
                </a:r>
                <a:r>
                  <a:rPr lang="en-US" baseline="0"/>
                  <a:t> Daily Positive Affect</a:t>
                </a:r>
                <a:endParaRPr lang="en-US"/>
              </a:p>
            </c:rich>
          </c:tx>
          <c:overlay val="0"/>
        </c:title>
        <c:numFmt formatCode="General" sourceLinked="1"/>
        <c:majorTickMark val="out"/>
        <c:minorTickMark val="none"/>
        <c:tickLblPos val="nextTo"/>
        <c:crossAx val="635099264"/>
        <c:crosses val="autoZero"/>
        <c:crossBetween val="midCat"/>
      </c:valAx>
    </c:plotArea>
    <c:legend>
      <c:legendPos val="r"/>
      <c:layout>
        <c:manualLayout>
          <c:xMode val="edge"/>
          <c:yMode val="edge"/>
          <c:x val="0.69598606006056596"/>
          <c:y val="0.21417380342196701"/>
          <c:w val="0.30401393993943399"/>
          <c:h val="0.40828304657674602"/>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0"/>
          <c:order val="0"/>
          <c:tx>
            <c:strRef>
              <c:f>Sheet1!$F$13</c:f>
              <c:strCache>
                <c:ptCount val="1"/>
                <c:pt idx="0">
                  <c:v>Not Serious</c:v>
                </c:pt>
              </c:strCache>
            </c:strRef>
          </c:tx>
          <c:spPr>
            <a:ln>
              <a:solidFill>
                <a:schemeClr val="bg1">
                  <a:lumMod val="65000"/>
                </a:schemeClr>
              </a:solidFill>
              <a:prstDash val="sysDash"/>
            </a:ln>
          </c:spPr>
          <c:marker>
            <c:symbol val="none"/>
          </c:marker>
          <c:errBars>
            <c:errDir val="y"/>
            <c:errBarType val="both"/>
            <c:errValType val="cust"/>
            <c:noEndCap val="0"/>
            <c:plus>
              <c:numRef>
                <c:f>Sheet1!$B$10</c:f>
                <c:numCache>
                  <c:formatCode>General</c:formatCode>
                  <c:ptCount val="1"/>
                  <c:pt idx="0">
                    <c:v>0.254548</c:v>
                  </c:pt>
                </c:numCache>
              </c:numRef>
            </c:plus>
            <c:minus>
              <c:numRef>
                <c:f>Sheet1!$B$10</c:f>
                <c:numCache>
                  <c:formatCode>General</c:formatCode>
                  <c:ptCount val="1"/>
                  <c:pt idx="0">
                    <c:v>0.254548</c:v>
                  </c:pt>
                </c:numCache>
              </c:numRef>
            </c:minus>
          </c:errBars>
          <c:xVal>
            <c:numRef>
              <c:f>Sheet1!$E$14:$E$15</c:f>
              <c:numCache>
                <c:formatCode>General</c:formatCode>
                <c:ptCount val="2"/>
                <c:pt idx="0">
                  <c:v>0</c:v>
                </c:pt>
                <c:pt idx="1">
                  <c:v>10</c:v>
                </c:pt>
              </c:numCache>
            </c:numRef>
          </c:xVal>
          <c:yVal>
            <c:numRef>
              <c:f>Sheet1!$F$14:$F$15</c:f>
              <c:numCache>
                <c:formatCode>General</c:formatCode>
                <c:ptCount val="2"/>
                <c:pt idx="0">
                  <c:v>18.291716000000001</c:v>
                </c:pt>
                <c:pt idx="1">
                  <c:v>17.951405999999999</c:v>
                </c:pt>
              </c:numCache>
            </c:numRef>
          </c:yVal>
          <c:smooth val="0"/>
          <c:extLst xmlns:c16r2="http://schemas.microsoft.com/office/drawing/2015/06/chart">
            <c:ext xmlns:c16="http://schemas.microsoft.com/office/drawing/2014/chart" uri="{C3380CC4-5D6E-409C-BE32-E72D297353CC}">
              <c16:uniqueId val="{00000000-3C59-4D4F-BD39-A567AF8D30E2}"/>
            </c:ext>
          </c:extLst>
        </c:ser>
        <c:ser>
          <c:idx val="1"/>
          <c:order val="1"/>
          <c:tx>
            <c:strRef>
              <c:f>Sheet1!$G$13</c:f>
              <c:strCache>
                <c:ptCount val="1"/>
                <c:pt idx="0">
                  <c:v>Serious</c:v>
                </c:pt>
              </c:strCache>
            </c:strRef>
          </c:tx>
          <c:spPr>
            <a:ln>
              <a:solidFill>
                <a:schemeClr val="tx1"/>
              </a:solidFill>
              <a:prstDash val="solid"/>
            </a:ln>
          </c:spPr>
          <c:marker>
            <c:symbol val="none"/>
          </c:marker>
          <c:errBars>
            <c:errDir val="y"/>
            <c:errBarType val="both"/>
            <c:errValType val="cust"/>
            <c:noEndCap val="0"/>
            <c:plus>
              <c:numRef>
                <c:f>Sheet1!$B$7</c:f>
                <c:numCache>
                  <c:formatCode>General</c:formatCode>
                  <c:ptCount val="1"/>
                  <c:pt idx="0">
                    <c:v>0.27712900000000001</c:v>
                  </c:pt>
                </c:numCache>
              </c:numRef>
            </c:plus>
            <c:minus>
              <c:numRef>
                <c:f>Sheet1!$B$7</c:f>
                <c:numCache>
                  <c:formatCode>General</c:formatCode>
                  <c:ptCount val="1"/>
                  <c:pt idx="0">
                    <c:v>0.27712900000000001</c:v>
                  </c:pt>
                </c:numCache>
              </c:numRef>
            </c:minus>
          </c:errBars>
          <c:xVal>
            <c:numRef>
              <c:f>Sheet1!$E$14:$E$15</c:f>
              <c:numCache>
                <c:formatCode>General</c:formatCode>
                <c:ptCount val="2"/>
                <c:pt idx="0">
                  <c:v>0</c:v>
                </c:pt>
                <c:pt idx="1">
                  <c:v>10</c:v>
                </c:pt>
              </c:numCache>
            </c:numRef>
          </c:xVal>
          <c:yVal>
            <c:numRef>
              <c:f>Sheet1!$G$14:$G$15</c:f>
              <c:numCache>
                <c:formatCode>General</c:formatCode>
                <c:ptCount val="2"/>
                <c:pt idx="0">
                  <c:v>16.554753999999999</c:v>
                </c:pt>
                <c:pt idx="1">
                  <c:v>9.0283139999999982</c:v>
                </c:pt>
              </c:numCache>
            </c:numRef>
          </c:yVal>
          <c:smooth val="0"/>
          <c:extLst xmlns:c16r2="http://schemas.microsoft.com/office/drawing/2015/06/chart">
            <c:ext xmlns:c16="http://schemas.microsoft.com/office/drawing/2014/chart" uri="{C3380CC4-5D6E-409C-BE32-E72D297353CC}">
              <c16:uniqueId val="{00000001-3C59-4D4F-BD39-A567AF8D30E2}"/>
            </c:ext>
          </c:extLst>
        </c:ser>
        <c:dLbls>
          <c:showLegendKey val="0"/>
          <c:showVal val="0"/>
          <c:showCatName val="0"/>
          <c:showSerName val="0"/>
          <c:showPercent val="0"/>
          <c:showBubbleSize val="0"/>
        </c:dLbls>
        <c:axId val="635099656"/>
        <c:axId val="635100048"/>
      </c:scatterChart>
      <c:valAx>
        <c:axId val="635099656"/>
        <c:scaling>
          <c:orientation val="minMax"/>
        </c:scaling>
        <c:delete val="0"/>
        <c:axPos val="b"/>
        <c:title>
          <c:tx>
            <c:rich>
              <a:bodyPr/>
              <a:lstStyle/>
              <a:p>
                <a:pPr>
                  <a:defRPr/>
                </a:pPr>
                <a:r>
                  <a:rPr lang="en-US" sz="1100"/>
                  <a:t>Partner's Use</a:t>
                </a:r>
                <a:r>
                  <a:rPr lang="en-US" sz="1100" baseline="0"/>
                  <a:t> of Active Repair Across Diary</a:t>
                </a:r>
                <a:endParaRPr lang="en-US" sz="1100"/>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5100048"/>
        <c:crossesAt val="-30"/>
        <c:crossBetween val="midCat"/>
      </c:valAx>
      <c:valAx>
        <c:axId val="635100048"/>
        <c:scaling>
          <c:orientation val="minMax"/>
        </c:scaling>
        <c:delete val="0"/>
        <c:axPos val="l"/>
        <c:majorGridlines/>
        <c:title>
          <c:tx>
            <c:rich>
              <a:bodyPr rot="-5400000" vert="horz"/>
              <a:lstStyle/>
              <a:p>
                <a:pPr>
                  <a:defRPr/>
                </a:pPr>
                <a:r>
                  <a:rPr lang="en-US"/>
                  <a:t>Actor's</a:t>
                </a:r>
                <a:r>
                  <a:rPr lang="en-US" baseline="0"/>
                  <a:t> Daily Relationship Satisfaction</a:t>
                </a:r>
                <a:endParaRPr lang="en-US"/>
              </a:p>
            </c:rich>
          </c:tx>
          <c:overlay val="0"/>
        </c:title>
        <c:numFmt formatCode="General" sourceLinked="1"/>
        <c:majorTickMark val="out"/>
        <c:minorTickMark val="none"/>
        <c:tickLblPos val="nextTo"/>
        <c:crossAx val="635099656"/>
        <c:crosses val="autoZero"/>
        <c:crossBetween val="midCat"/>
      </c:valAx>
    </c:plotArea>
    <c:legend>
      <c:legendPos val="r"/>
      <c:layout>
        <c:manualLayout>
          <c:xMode val="edge"/>
          <c:yMode val="edge"/>
          <c:x val="0.69598606006056596"/>
          <c:y val="0.21417380342196701"/>
          <c:w val="0.30401393993943399"/>
          <c:h val="0.40828304657674602"/>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Not Serious</c:v>
                </c:pt>
              </c:strCache>
            </c:strRef>
          </c:tx>
          <c:spPr>
            <a:solidFill>
              <a:schemeClr val="tx1"/>
            </a:solidFill>
            <a:ln>
              <a:solidFill>
                <a:schemeClr val="bg1">
                  <a:lumMod val="65000"/>
                </a:schemeClr>
              </a:solidFill>
              <a:prstDash val="sysDash"/>
            </a:ln>
          </c:spPr>
          <c:invertIfNegative val="0"/>
          <c:errBars>
            <c:errBarType val="both"/>
            <c:errValType val="cust"/>
            <c:noEndCap val="0"/>
            <c:plus>
              <c:numRef>
                <c:f>Sheet1!$B$10</c:f>
                <c:numCache>
                  <c:formatCode>General</c:formatCode>
                  <c:ptCount val="1"/>
                  <c:pt idx="0">
                    <c:v>0.587592</c:v>
                  </c:pt>
                </c:numCache>
              </c:numRef>
            </c:plus>
            <c:minus>
              <c:numRef>
                <c:f>Sheet1!$B$10</c:f>
                <c:numCache>
                  <c:formatCode>General</c:formatCode>
                  <c:ptCount val="1"/>
                  <c:pt idx="0">
                    <c:v>0.587592</c:v>
                  </c:pt>
                </c:numCache>
              </c:numRef>
            </c:minus>
          </c:errBars>
          <c:cat>
            <c:numRef>
              <c:f>Sheet1!$E$14:$E$15</c:f>
              <c:numCache>
                <c:formatCode>General</c:formatCode>
                <c:ptCount val="2"/>
                <c:pt idx="0">
                  <c:v>0</c:v>
                </c:pt>
                <c:pt idx="1">
                  <c:v>1</c:v>
                </c:pt>
              </c:numCache>
            </c:numRef>
          </c:cat>
          <c:val>
            <c:numRef>
              <c:f>Sheet1!$F$14:$F$15</c:f>
              <c:numCache>
                <c:formatCode>General</c:formatCode>
                <c:ptCount val="2"/>
                <c:pt idx="0">
                  <c:v>3.2020840000000002</c:v>
                </c:pt>
                <c:pt idx="1">
                  <c:v>2.3827850000000002</c:v>
                </c:pt>
              </c:numCache>
            </c:numRef>
          </c:val>
          <c:extLst xmlns:c16r2="http://schemas.microsoft.com/office/drawing/2015/06/chart">
            <c:ext xmlns:c16="http://schemas.microsoft.com/office/drawing/2014/chart" uri="{C3380CC4-5D6E-409C-BE32-E72D297353CC}">
              <c16:uniqueId val="{00000000-BDD0-4867-B4F0-776C2D1C07B3}"/>
            </c:ext>
          </c:extLst>
        </c:ser>
        <c:ser>
          <c:idx val="1"/>
          <c:order val="1"/>
          <c:tx>
            <c:strRef>
              <c:f>Sheet1!$G$13</c:f>
              <c:strCache>
                <c:ptCount val="1"/>
                <c:pt idx="0">
                  <c:v>Serious</c:v>
                </c:pt>
              </c:strCache>
            </c:strRef>
          </c:tx>
          <c:spPr>
            <a:pattFill prst="pct50">
              <a:fgClr>
                <a:schemeClr val="tx1"/>
              </a:fgClr>
              <a:bgClr>
                <a:schemeClr val="bg1"/>
              </a:bgClr>
            </a:pattFill>
            <a:ln>
              <a:solidFill>
                <a:schemeClr val="tx1"/>
              </a:solidFill>
              <a:prstDash val="solid"/>
            </a:ln>
          </c:spPr>
          <c:invertIfNegative val="0"/>
          <c:errBars>
            <c:errBarType val="both"/>
            <c:errValType val="cust"/>
            <c:noEndCap val="0"/>
            <c:plus>
              <c:numRef>
                <c:f>Sheet1!$B$7</c:f>
                <c:numCache>
                  <c:formatCode>General</c:formatCode>
                  <c:ptCount val="1"/>
                  <c:pt idx="0">
                    <c:v>0.54349899999999995</c:v>
                  </c:pt>
                </c:numCache>
              </c:numRef>
            </c:plus>
            <c:minus>
              <c:numRef>
                <c:f>Sheet1!$B$7</c:f>
                <c:numCache>
                  <c:formatCode>General</c:formatCode>
                  <c:ptCount val="1"/>
                  <c:pt idx="0">
                    <c:v>0.54349899999999995</c:v>
                  </c:pt>
                </c:numCache>
              </c:numRef>
            </c:minus>
          </c:errBars>
          <c:cat>
            <c:numRef>
              <c:f>Sheet1!$E$14:$E$15</c:f>
              <c:numCache>
                <c:formatCode>General</c:formatCode>
                <c:ptCount val="2"/>
                <c:pt idx="0">
                  <c:v>0</c:v>
                </c:pt>
                <c:pt idx="1">
                  <c:v>1</c:v>
                </c:pt>
              </c:numCache>
            </c:numRef>
          </c:cat>
          <c:val>
            <c:numRef>
              <c:f>Sheet1!$G$14:$G$15</c:f>
              <c:numCache>
                <c:formatCode>General</c:formatCode>
                <c:ptCount val="2"/>
                <c:pt idx="0">
                  <c:v>3.4002520000000001</c:v>
                </c:pt>
                <c:pt idx="1">
                  <c:v>4.3982679999999998</c:v>
                </c:pt>
              </c:numCache>
            </c:numRef>
          </c:val>
          <c:extLst xmlns:c16r2="http://schemas.microsoft.com/office/drawing/2015/06/chart">
            <c:ext xmlns:c16="http://schemas.microsoft.com/office/drawing/2014/chart" uri="{C3380CC4-5D6E-409C-BE32-E72D297353CC}">
              <c16:uniqueId val="{00000001-BDD0-4867-B4F0-776C2D1C07B3}"/>
            </c:ext>
          </c:extLst>
        </c:ser>
        <c:dLbls>
          <c:showLegendKey val="0"/>
          <c:showVal val="0"/>
          <c:showCatName val="0"/>
          <c:showSerName val="0"/>
          <c:showPercent val="0"/>
          <c:showBubbleSize val="0"/>
        </c:dLbls>
        <c:gapWidth val="150"/>
        <c:axId val="635097304"/>
        <c:axId val="634779024"/>
      </c:barChart>
      <c:catAx>
        <c:axId val="635097304"/>
        <c:scaling>
          <c:orientation val="minMax"/>
        </c:scaling>
        <c:delete val="0"/>
        <c:axPos val="b"/>
        <c:title>
          <c:tx>
            <c:rich>
              <a:bodyPr/>
              <a:lstStyle/>
              <a:p>
                <a:pPr>
                  <a:defRPr/>
                </a:pPr>
                <a:r>
                  <a:rPr lang="en-US" sz="1100"/>
                  <a:t>Partner Uses Gain Perspective</a:t>
                </a:r>
                <a:endParaRPr lang="en-US" sz="1100" baseline="0"/>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4779024"/>
        <c:crossesAt val="0"/>
        <c:auto val="1"/>
        <c:lblAlgn val="ctr"/>
        <c:lblOffset val="100"/>
        <c:noMultiLvlLbl val="1"/>
      </c:catAx>
      <c:valAx>
        <c:axId val="634779024"/>
        <c:scaling>
          <c:orientation val="minMax"/>
        </c:scaling>
        <c:delete val="0"/>
        <c:axPos val="l"/>
        <c:majorGridlines/>
        <c:title>
          <c:tx>
            <c:rich>
              <a:bodyPr rot="-5400000" vert="horz"/>
              <a:lstStyle/>
              <a:p>
                <a:pPr>
                  <a:defRPr/>
                </a:pPr>
                <a:r>
                  <a:rPr lang="en-US"/>
                  <a:t>Actor's Daily Depressive Symptoms</a:t>
                </a:r>
              </a:p>
            </c:rich>
          </c:tx>
          <c:overlay val="0"/>
        </c:title>
        <c:numFmt formatCode="General" sourceLinked="1"/>
        <c:majorTickMark val="out"/>
        <c:minorTickMark val="none"/>
        <c:tickLblPos val="nextTo"/>
        <c:crossAx val="635097304"/>
        <c:crosses val="autoZero"/>
        <c:crossBetween val="between"/>
      </c:valAx>
    </c:plotArea>
    <c:legend>
      <c:legendPos val="r"/>
      <c:layout>
        <c:manualLayout>
          <c:xMode val="edge"/>
          <c:yMode val="edge"/>
          <c:x val="0.76223270820237998"/>
          <c:y val="0.34753665791776001"/>
          <c:w val="0.23776729179761999"/>
          <c:h val="0.21442819061660401"/>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0.111523363856322"/>
          <c:y val="4.3421920890046803E-2"/>
          <c:w val="0.62363431310949602"/>
          <c:h val="0.79409645978527799"/>
        </c:manualLayout>
      </c:layout>
      <c:scatterChart>
        <c:scatterStyle val="lineMarker"/>
        <c:varyColors val="0"/>
        <c:ser>
          <c:idx val="0"/>
          <c:order val="0"/>
          <c:tx>
            <c:strRef>
              <c:f>Sheet1!$F$13</c:f>
              <c:strCache>
                <c:ptCount val="1"/>
                <c:pt idx="0">
                  <c:v>Not Serious</c:v>
                </c:pt>
              </c:strCache>
            </c:strRef>
          </c:tx>
          <c:spPr>
            <a:ln>
              <a:solidFill>
                <a:schemeClr val="bg1">
                  <a:lumMod val="65000"/>
                </a:schemeClr>
              </a:solidFill>
              <a:prstDash val="sysDash"/>
            </a:ln>
          </c:spPr>
          <c:marker>
            <c:symbol val="none"/>
          </c:marker>
          <c:errBars>
            <c:errDir val="y"/>
            <c:errBarType val="both"/>
            <c:errValType val="cust"/>
            <c:noEndCap val="0"/>
            <c:plus>
              <c:numRef>
                <c:f>Sheet1!$B$10</c:f>
                <c:numCache>
                  <c:formatCode>General</c:formatCode>
                  <c:ptCount val="1"/>
                  <c:pt idx="0">
                    <c:v>0.26955099999999999</c:v>
                  </c:pt>
                </c:numCache>
              </c:numRef>
            </c:plus>
            <c:minus>
              <c:numRef>
                <c:f>Sheet1!$B$10</c:f>
                <c:numCache>
                  <c:formatCode>General</c:formatCode>
                  <c:ptCount val="1"/>
                  <c:pt idx="0">
                    <c:v>0.26955099999999999</c:v>
                  </c:pt>
                </c:numCache>
              </c:numRef>
            </c:minus>
          </c:errBars>
          <c:xVal>
            <c:numRef>
              <c:f>Sheet1!$E$14:$E$15</c:f>
              <c:numCache>
                <c:formatCode>General</c:formatCode>
                <c:ptCount val="2"/>
                <c:pt idx="0">
                  <c:v>0</c:v>
                </c:pt>
                <c:pt idx="1">
                  <c:v>10</c:v>
                </c:pt>
              </c:numCache>
            </c:numRef>
          </c:xVal>
          <c:yVal>
            <c:numRef>
              <c:f>Sheet1!$F$14:$F$15</c:f>
              <c:numCache>
                <c:formatCode>General</c:formatCode>
                <c:ptCount val="2"/>
                <c:pt idx="0">
                  <c:v>3.2020840000000002</c:v>
                </c:pt>
                <c:pt idx="1">
                  <c:v>5.0775939999999986</c:v>
                </c:pt>
              </c:numCache>
            </c:numRef>
          </c:yVal>
          <c:smooth val="0"/>
          <c:extLst xmlns:c16r2="http://schemas.microsoft.com/office/drawing/2015/06/chart">
            <c:ext xmlns:c16="http://schemas.microsoft.com/office/drawing/2014/chart" uri="{C3380CC4-5D6E-409C-BE32-E72D297353CC}">
              <c16:uniqueId val="{00000000-084F-4F42-A315-39E366C616E4}"/>
            </c:ext>
          </c:extLst>
        </c:ser>
        <c:ser>
          <c:idx val="1"/>
          <c:order val="1"/>
          <c:tx>
            <c:strRef>
              <c:f>Sheet1!$G$13</c:f>
              <c:strCache>
                <c:ptCount val="1"/>
                <c:pt idx="0">
                  <c:v>Serious</c:v>
                </c:pt>
              </c:strCache>
            </c:strRef>
          </c:tx>
          <c:spPr>
            <a:ln>
              <a:solidFill>
                <a:schemeClr val="tx1"/>
              </a:solidFill>
              <a:prstDash val="solid"/>
            </a:ln>
          </c:spPr>
          <c:marker>
            <c:symbol val="none"/>
          </c:marker>
          <c:errBars>
            <c:errDir val="y"/>
            <c:errBarType val="both"/>
            <c:errValType val="cust"/>
            <c:noEndCap val="0"/>
            <c:plus>
              <c:numRef>
                <c:f>Sheet1!$B$7</c:f>
                <c:numCache>
                  <c:formatCode>General</c:formatCode>
                  <c:ptCount val="1"/>
                  <c:pt idx="0">
                    <c:v>0.272289</c:v>
                  </c:pt>
                </c:numCache>
              </c:numRef>
            </c:plus>
            <c:minus>
              <c:numRef>
                <c:f>Sheet1!$B$7</c:f>
                <c:numCache>
                  <c:formatCode>General</c:formatCode>
                  <c:ptCount val="1"/>
                  <c:pt idx="0">
                    <c:v>0.272289</c:v>
                  </c:pt>
                </c:numCache>
              </c:numRef>
            </c:minus>
          </c:errBars>
          <c:xVal>
            <c:numRef>
              <c:f>Sheet1!$E$14:$E$15</c:f>
              <c:numCache>
                <c:formatCode>General</c:formatCode>
                <c:ptCount val="2"/>
                <c:pt idx="0">
                  <c:v>0</c:v>
                </c:pt>
                <c:pt idx="1">
                  <c:v>10</c:v>
                </c:pt>
              </c:numCache>
            </c:numRef>
          </c:xVal>
          <c:yVal>
            <c:numRef>
              <c:f>Sheet1!$G$14:$G$15</c:f>
              <c:numCache>
                <c:formatCode>General</c:formatCode>
                <c:ptCount val="2"/>
                <c:pt idx="0">
                  <c:v>3.4002520000000001</c:v>
                </c:pt>
                <c:pt idx="1">
                  <c:v>-3.2812679999999999</c:v>
                </c:pt>
              </c:numCache>
            </c:numRef>
          </c:yVal>
          <c:smooth val="0"/>
          <c:extLst xmlns:c16r2="http://schemas.microsoft.com/office/drawing/2015/06/chart">
            <c:ext xmlns:c16="http://schemas.microsoft.com/office/drawing/2014/chart" uri="{C3380CC4-5D6E-409C-BE32-E72D297353CC}">
              <c16:uniqueId val="{00000001-084F-4F42-A315-39E366C616E4}"/>
            </c:ext>
          </c:extLst>
        </c:ser>
        <c:dLbls>
          <c:showLegendKey val="0"/>
          <c:showVal val="0"/>
          <c:showCatName val="0"/>
          <c:showSerName val="0"/>
          <c:showPercent val="0"/>
          <c:showBubbleSize val="0"/>
        </c:dLbls>
        <c:axId val="484113360"/>
        <c:axId val="484114536"/>
      </c:scatterChart>
      <c:valAx>
        <c:axId val="484113360"/>
        <c:scaling>
          <c:orientation val="minMax"/>
        </c:scaling>
        <c:delete val="0"/>
        <c:axPos val="b"/>
        <c:title>
          <c:tx>
            <c:rich>
              <a:bodyPr/>
              <a:lstStyle/>
              <a:p>
                <a:pPr>
                  <a:defRPr/>
                </a:pPr>
                <a:r>
                  <a:rPr lang="en-US" sz="1100"/>
                  <a:t>Partner's Use of Gain Perspective </a:t>
                </a:r>
                <a:r>
                  <a:rPr lang="en-US" sz="1100" baseline="0"/>
                  <a:t>Across Diary</a:t>
                </a:r>
                <a:endParaRPr lang="en-US" sz="1100"/>
              </a:p>
            </c:rich>
          </c:tx>
          <c:layout>
            <c:manualLayout>
              <c:xMode val="edge"/>
              <c:yMode val="edge"/>
              <c:x val="0.21349265856444899"/>
              <c:y val="0.92384831401410905"/>
            </c:manualLayout>
          </c:layout>
          <c:overlay val="0"/>
        </c:title>
        <c:numFmt formatCode="General" sourceLinked="1"/>
        <c:majorTickMark val="out"/>
        <c:minorTickMark val="none"/>
        <c:tickLblPos val="nextTo"/>
        <c:crossAx val="484114536"/>
        <c:crossesAt val="-30"/>
        <c:crossBetween val="midCat"/>
      </c:valAx>
      <c:valAx>
        <c:axId val="484114536"/>
        <c:scaling>
          <c:orientation val="minMax"/>
        </c:scaling>
        <c:delete val="0"/>
        <c:axPos val="l"/>
        <c:majorGridlines/>
        <c:title>
          <c:tx>
            <c:rich>
              <a:bodyPr rot="-5400000" vert="horz"/>
              <a:lstStyle/>
              <a:p>
                <a:pPr>
                  <a:defRPr/>
                </a:pPr>
                <a:r>
                  <a:rPr lang="en-US"/>
                  <a:t>Actor's</a:t>
                </a:r>
                <a:r>
                  <a:rPr lang="en-US" baseline="0"/>
                  <a:t> Daily Depressive Symptoms</a:t>
                </a:r>
                <a:endParaRPr lang="en-US"/>
              </a:p>
            </c:rich>
          </c:tx>
          <c:overlay val="0"/>
        </c:title>
        <c:numFmt formatCode="General" sourceLinked="1"/>
        <c:majorTickMark val="out"/>
        <c:minorTickMark val="none"/>
        <c:tickLblPos val="nextTo"/>
        <c:crossAx val="484113360"/>
        <c:crosses val="autoZero"/>
        <c:crossBetween val="midCat"/>
      </c:valAx>
    </c:plotArea>
    <c:legend>
      <c:legendPos val="r"/>
      <c:layout>
        <c:manualLayout>
          <c:xMode val="edge"/>
          <c:yMode val="edge"/>
          <c:x val="0.69598606006056596"/>
          <c:y val="0.21417380342196701"/>
          <c:w val="0.30401393993943399"/>
          <c:h val="0.40828304657674602"/>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0"/>
          <c:order val="0"/>
          <c:tx>
            <c:strRef>
              <c:f>Sheet1!$F$13</c:f>
              <c:strCache>
                <c:ptCount val="1"/>
                <c:pt idx="0">
                  <c:v>Not Serious</c:v>
                </c:pt>
              </c:strCache>
            </c:strRef>
          </c:tx>
          <c:spPr>
            <a:ln>
              <a:solidFill>
                <a:schemeClr val="bg1">
                  <a:lumMod val="65000"/>
                </a:schemeClr>
              </a:solidFill>
              <a:prstDash val="sysDash"/>
            </a:ln>
          </c:spPr>
          <c:marker>
            <c:symbol val="none"/>
          </c:marker>
          <c:errBars>
            <c:errDir val="y"/>
            <c:errBarType val="both"/>
            <c:errValType val="cust"/>
            <c:noEndCap val="0"/>
            <c:plus>
              <c:numRef>
                <c:f>Sheet1!$B$10</c:f>
                <c:numCache>
                  <c:formatCode>General</c:formatCode>
                  <c:ptCount val="1"/>
                  <c:pt idx="0">
                    <c:v>0.229963</c:v>
                  </c:pt>
                </c:numCache>
              </c:numRef>
            </c:plus>
            <c:minus>
              <c:numRef>
                <c:f>Sheet1!$B$10</c:f>
                <c:numCache>
                  <c:formatCode>General</c:formatCode>
                  <c:ptCount val="1"/>
                  <c:pt idx="0">
                    <c:v>0.229963</c:v>
                  </c:pt>
                </c:numCache>
              </c:numRef>
            </c:minus>
          </c:errBars>
          <c:xVal>
            <c:numRef>
              <c:f>Sheet1!$E$14:$E$15</c:f>
              <c:numCache>
                <c:formatCode>General</c:formatCode>
                <c:ptCount val="2"/>
                <c:pt idx="0">
                  <c:v>0</c:v>
                </c:pt>
                <c:pt idx="1">
                  <c:v>10</c:v>
                </c:pt>
              </c:numCache>
            </c:numRef>
          </c:xVal>
          <c:yVal>
            <c:numRef>
              <c:f>Sheet1!$F$14:$F$15</c:f>
              <c:numCache>
                <c:formatCode>General</c:formatCode>
                <c:ptCount val="2"/>
                <c:pt idx="0">
                  <c:v>18.291716000000001</c:v>
                </c:pt>
                <c:pt idx="1">
                  <c:v>16.977416000000002</c:v>
                </c:pt>
              </c:numCache>
            </c:numRef>
          </c:yVal>
          <c:smooth val="0"/>
          <c:extLst xmlns:c16r2="http://schemas.microsoft.com/office/drawing/2015/06/chart">
            <c:ext xmlns:c16="http://schemas.microsoft.com/office/drawing/2014/chart" uri="{C3380CC4-5D6E-409C-BE32-E72D297353CC}">
              <c16:uniqueId val="{00000000-73EB-48DA-829B-E0A3AA39B243}"/>
            </c:ext>
          </c:extLst>
        </c:ser>
        <c:ser>
          <c:idx val="1"/>
          <c:order val="1"/>
          <c:tx>
            <c:strRef>
              <c:f>Sheet1!$G$13</c:f>
              <c:strCache>
                <c:ptCount val="1"/>
                <c:pt idx="0">
                  <c:v>Serious</c:v>
                </c:pt>
              </c:strCache>
            </c:strRef>
          </c:tx>
          <c:spPr>
            <a:ln>
              <a:solidFill>
                <a:schemeClr val="tx1"/>
              </a:solidFill>
              <a:prstDash val="solid"/>
            </a:ln>
          </c:spPr>
          <c:marker>
            <c:symbol val="none"/>
          </c:marker>
          <c:errBars>
            <c:errDir val="y"/>
            <c:errBarType val="both"/>
            <c:errValType val="cust"/>
            <c:noEndCap val="0"/>
            <c:plus>
              <c:numRef>
                <c:f>Sheet1!$B$7</c:f>
                <c:numCache>
                  <c:formatCode>General</c:formatCode>
                  <c:ptCount val="1"/>
                  <c:pt idx="0">
                    <c:v>0.23003499999999999</c:v>
                  </c:pt>
                </c:numCache>
              </c:numRef>
            </c:plus>
            <c:minus>
              <c:numRef>
                <c:f>Sheet1!$B$7</c:f>
                <c:numCache>
                  <c:formatCode>General</c:formatCode>
                  <c:ptCount val="1"/>
                  <c:pt idx="0">
                    <c:v>0.23003499999999999</c:v>
                  </c:pt>
                </c:numCache>
              </c:numRef>
            </c:minus>
          </c:errBars>
          <c:xVal>
            <c:numRef>
              <c:f>Sheet1!$E$14:$E$15</c:f>
              <c:numCache>
                <c:formatCode>General</c:formatCode>
                <c:ptCount val="2"/>
                <c:pt idx="0">
                  <c:v>0</c:v>
                </c:pt>
                <c:pt idx="1">
                  <c:v>10</c:v>
                </c:pt>
              </c:numCache>
            </c:numRef>
          </c:xVal>
          <c:yVal>
            <c:numRef>
              <c:f>Sheet1!$G$14:$G$15</c:f>
              <c:numCache>
                <c:formatCode>General</c:formatCode>
                <c:ptCount val="2"/>
                <c:pt idx="0">
                  <c:v>16.554753999999999</c:v>
                </c:pt>
                <c:pt idx="1">
                  <c:v>24.231054</c:v>
                </c:pt>
              </c:numCache>
            </c:numRef>
          </c:yVal>
          <c:smooth val="0"/>
          <c:extLst xmlns:c16r2="http://schemas.microsoft.com/office/drawing/2015/06/chart">
            <c:ext xmlns:c16="http://schemas.microsoft.com/office/drawing/2014/chart" uri="{C3380CC4-5D6E-409C-BE32-E72D297353CC}">
              <c16:uniqueId val="{00000001-73EB-48DA-829B-E0A3AA39B243}"/>
            </c:ext>
          </c:extLst>
        </c:ser>
        <c:dLbls>
          <c:showLegendKey val="0"/>
          <c:showVal val="0"/>
          <c:showCatName val="0"/>
          <c:showSerName val="0"/>
          <c:showPercent val="0"/>
          <c:showBubbleSize val="0"/>
        </c:dLbls>
        <c:axId val="484114928"/>
        <c:axId val="635557528"/>
      </c:scatterChart>
      <c:valAx>
        <c:axId val="484114928"/>
        <c:scaling>
          <c:orientation val="minMax"/>
        </c:scaling>
        <c:delete val="0"/>
        <c:axPos val="b"/>
        <c:title>
          <c:tx>
            <c:rich>
              <a:bodyPr/>
              <a:lstStyle/>
              <a:p>
                <a:pPr>
                  <a:defRPr/>
                </a:pPr>
                <a:r>
                  <a:rPr lang="en-US" sz="1100"/>
                  <a:t>Partner's Use</a:t>
                </a:r>
                <a:r>
                  <a:rPr lang="en-US" sz="1100" baseline="0"/>
                  <a:t> of Let Go Across Diary</a:t>
                </a:r>
                <a:endParaRPr lang="en-US" sz="1100"/>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5557528"/>
        <c:crossesAt val="-30"/>
        <c:crossBetween val="midCat"/>
      </c:valAx>
      <c:valAx>
        <c:axId val="635557528"/>
        <c:scaling>
          <c:orientation val="minMax"/>
        </c:scaling>
        <c:delete val="0"/>
        <c:axPos val="l"/>
        <c:majorGridlines/>
        <c:title>
          <c:tx>
            <c:rich>
              <a:bodyPr rot="-5400000" vert="horz"/>
              <a:lstStyle/>
              <a:p>
                <a:pPr>
                  <a:defRPr/>
                </a:pPr>
                <a:r>
                  <a:rPr lang="en-US"/>
                  <a:t>Actor's</a:t>
                </a:r>
                <a:r>
                  <a:rPr lang="en-US" baseline="0"/>
                  <a:t> Daily Relationship Satisfaction</a:t>
                </a:r>
                <a:endParaRPr lang="en-US"/>
              </a:p>
            </c:rich>
          </c:tx>
          <c:overlay val="0"/>
        </c:title>
        <c:numFmt formatCode="General" sourceLinked="1"/>
        <c:majorTickMark val="out"/>
        <c:minorTickMark val="none"/>
        <c:tickLblPos val="nextTo"/>
        <c:crossAx val="484114928"/>
        <c:crosses val="autoZero"/>
        <c:crossBetween val="midCat"/>
      </c:valAx>
    </c:plotArea>
    <c:legend>
      <c:legendPos val="r"/>
      <c:layout>
        <c:manualLayout>
          <c:xMode val="edge"/>
          <c:yMode val="edge"/>
          <c:x val="0.69598606006056596"/>
          <c:y val="0.21417380342196701"/>
          <c:w val="0.30401393993943399"/>
          <c:h val="0.40828304657674602"/>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0.11582294629211499"/>
          <c:y val="4.3421920890046803E-2"/>
          <c:w val="0.48570185790659298"/>
          <c:h val="0.78741616426373295"/>
        </c:manualLayout>
      </c:layout>
      <c:scatterChart>
        <c:scatterStyle val="lineMarker"/>
        <c:varyColors val="0"/>
        <c:ser>
          <c:idx val="0"/>
          <c:order val="0"/>
          <c:tx>
            <c:strRef>
              <c:f>Sheet1!$F$13</c:f>
              <c:strCache>
                <c:ptCount val="1"/>
                <c:pt idx="0">
                  <c:v>Low Global Satisfaction</c:v>
                </c:pt>
              </c:strCache>
            </c:strRef>
          </c:tx>
          <c:spPr>
            <a:ln>
              <a:solidFill>
                <a:schemeClr val="bg1">
                  <a:lumMod val="65000"/>
                </a:schemeClr>
              </a:solidFill>
              <a:prstDash val="sysDash"/>
            </a:ln>
          </c:spPr>
          <c:marker>
            <c:symbol val="none"/>
          </c:marker>
          <c:errBars>
            <c:errDir val="y"/>
            <c:errBarType val="both"/>
            <c:errValType val="cust"/>
            <c:noEndCap val="0"/>
            <c:plus>
              <c:numRef>
                <c:f>Sheet1!$B$10</c:f>
                <c:numCache>
                  <c:formatCode>General</c:formatCode>
                  <c:ptCount val="1"/>
                  <c:pt idx="0">
                    <c:v>0.52</c:v>
                  </c:pt>
                </c:numCache>
              </c:numRef>
            </c:plus>
            <c:minus>
              <c:numRef>
                <c:f>Sheet1!$B$10</c:f>
                <c:numCache>
                  <c:formatCode>General</c:formatCode>
                  <c:ptCount val="1"/>
                  <c:pt idx="0">
                    <c:v>0.52</c:v>
                  </c:pt>
                </c:numCache>
              </c:numRef>
            </c:minus>
          </c:errBars>
          <c:xVal>
            <c:numRef>
              <c:f>Sheet1!$E$14:$E$15</c:f>
              <c:numCache>
                <c:formatCode>General</c:formatCode>
                <c:ptCount val="2"/>
                <c:pt idx="0">
                  <c:v>0</c:v>
                </c:pt>
                <c:pt idx="1">
                  <c:v>10</c:v>
                </c:pt>
              </c:numCache>
            </c:numRef>
          </c:xVal>
          <c:yVal>
            <c:numRef>
              <c:f>Sheet1!$F$14:$F$15</c:f>
              <c:numCache>
                <c:formatCode>General</c:formatCode>
                <c:ptCount val="2"/>
                <c:pt idx="0">
                  <c:v>11.428628</c:v>
                </c:pt>
                <c:pt idx="1">
                  <c:v>30.428628</c:v>
                </c:pt>
              </c:numCache>
            </c:numRef>
          </c:yVal>
          <c:smooth val="0"/>
          <c:extLst xmlns:c16r2="http://schemas.microsoft.com/office/drawing/2015/06/chart">
            <c:ext xmlns:c16="http://schemas.microsoft.com/office/drawing/2014/chart" uri="{C3380CC4-5D6E-409C-BE32-E72D297353CC}">
              <c16:uniqueId val="{00000000-BD63-475E-AF95-8CD222FC07AF}"/>
            </c:ext>
          </c:extLst>
        </c:ser>
        <c:ser>
          <c:idx val="1"/>
          <c:order val="1"/>
          <c:tx>
            <c:strRef>
              <c:f>Sheet1!$G$13</c:f>
              <c:strCache>
                <c:ptCount val="1"/>
                <c:pt idx="0">
                  <c:v>High Global Satisfaction</c:v>
                </c:pt>
              </c:strCache>
            </c:strRef>
          </c:tx>
          <c:spPr>
            <a:ln>
              <a:solidFill>
                <a:schemeClr val="tx1"/>
              </a:solidFill>
              <a:prstDash val="solid"/>
            </a:ln>
          </c:spPr>
          <c:marker>
            <c:symbol val="none"/>
          </c:marker>
          <c:errBars>
            <c:errDir val="y"/>
            <c:errBarType val="both"/>
            <c:errValType val="cust"/>
            <c:noEndCap val="0"/>
            <c:plus>
              <c:numRef>
                <c:f>Sheet1!$B$7</c:f>
                <c:numCache>
                  <c:formatCode>General</c:formatCode>
                  <c:ptCount val="1"/>
                  <c:pt idx="0">
                    <c:v>0.65</c:v>
                  </c:pt>
                </c:numCache>
              </c:numRef>
            </c:plus>
            <c:minus>
              <c:numRef>
                <c:f>Sheet1!$B$7</c:f>
                <c:numCache>
                  <c:formatCode>General</c:formatCode>
                  <c:ptCount val="1"/>
                  <c:pt idx="0">
                    <c:v>0.65</c:v>
                  </c:pt>
                </c:numCache>
              </c:numRef>
            </c:minus>
          </c:errBars>
          <c:xVal>
            <c:numRef>
              <c:f>Sheet1!$E$14:$E$15</c:f>
              <c:numCache>
                <c:formatCode>General</c:formatCode>
                <c:ptCount val="2"/>
                <c:pt idx="0">
                  <c:v>0</c:v>
                </c:pt>
                <c:pt idx="1">
                  <c:v>10</c:v>
                </c:pt>
              </c:numCache>
            </c:numRef>
          </c:xVal>
          <c:yVal>
            <c:numRef>
              <c:f>Sheet1!$G$14:$G$15</c:f>
              <c:numCache>
                <c:formatCode>General</c:formatCode>
                <c:ptCount val="2"/>
                <c:pt idx="0">
                  <c:v>8.1507559999999994</c:v>
                </c:pt>
                <c:pt idx="1">
                  <c:v>5.0755999999997997E-2</c:v>
                </c:pt>
              </c:numCache>
            </c:numRef>
          </c:yVal>
          <c:smooth val="0"/>
          <c:extLst xmlns:c16r2="http://schemas.microsoft.com/office/drawing/2015/06/chart">
            <c:ext xmlns:c16="http://schemas.microsoft.com/office/drawing/2014/chart" uri="{C3380CC4-5D6E-409C-BE32-E72D297353CC}">
              <c16:uniqueId val="{00000001-BD63-475E-AF95-8CD222FC07AF}"/>
            </c:ext>
          </c:extLst>
        </c:ser>
        <c:dLbls>
          <c:showLegendKey val="0"/>
          <c:showVal val="0"/>
          <c:showCatName val="0"/>
          <c:showSerName val="0"/>
          <c:showPercent val="0"/>
          <c:showBubbleSize val="0"/>
        </c:dLbls>
        <c:axId val="485119624"/>
        <c:axId val="485120408"/>
      </c:scatterChart>
      <c:valAx>
        <c:axId val="485119624"/>
        <c:scaling>
          <c:orientation val="minMax"/>
        </c:scaling>
        <c:delete val="0"/>
        <c:axPos val="b"/>
        <c:title>
          <c:tx>
            <c:rich>
              <a:bodyPr/>
              <a:lstStyle/>
              <a:p>
                <a:pPr>
                  <a:defRPr/>
                </a:pPr>
                <a:r>
                  <a:rPr lang="en-US" sz="1100"/>
                  <a:t>Partner's Use</a:t>
                </a:r>
                <a:r>
                  <a:rPr lang="en-US" sz="1100" baseline="0"/>
                  <a:t> of Active Repair Across Diary</a:t>
                </a:r>
                <a:endParaRPr lang="en-US" sz="1100"/>
              </a:p>
            </c:rich>
          </c:tx>
          <c:layout>
            <c:manualLayout>
              <c:xMode val="edge"/>
              <c:yMode val="edge"/>
              <c:x val="0.21349265856444899"/>
              <c:y val="0.92384831401410905"/>
            </c:manualLayout>
          </c:layout>
          <c:overlay val="0"/>
        </c:title>
        <c:numFmt formatCode="General" sourceLinked="1"/>
        <c:majorTickMark val="out"/>
        <c:minorTickMark val="none"/>
        <c:tickLblPos val="nextTo"/>
        <c:crossAx val="485120408"/>
        <c:crossesAt val="-30"/>
        <c:crossBetween val="midCat"/>
      </c:valAx>
      <c:valAx>
        <c:axId val="485120408"/>
        <c:scaling>
          <c:orientation val="minMax"/>
        </c:scaling>
        <c:delete val="0"/>
        <c:axPos val="l"/>
        <c:majorGridlines/>
        <c:title>
          <c:tx>
            <c:rich>
              <a:bodyPr rot="-5400000" vert="horz"/>
              <a:lstStyle/>
              <a:p>
                <a:pPr>
                  <a:defRPr/>
                </a:pPr>
                <a:r>
                  <a:rPr lang="en-US"/>
                  <a:t>Actor's</a:t>
                </a:r>
                <a:r>
                  <a:rPr lang="en-US" baseline="0"/>
                  <a:t> Daily Negative Affect</a:t>
                </a:r>
                <a:endParaRPr lang="en-US"/>
              </a:p>
            </c:rich>
          </c:tx>
          <c:overlay val="0"/>
        </c:title>
        <c:numFmt formatCode="General" sourceLinked="1"/>
        <c:majorTickMark val="out"/>
        <c:minorTickMark val="none"/>
        <c:tickLblPos val="nextTo"/>
        <c:crossAx val="485119624"/>
        <c:crosses val="autoZero"/>
        <c:crossBetween val="midCat"/>
      </c:valAx>
    </c:plotArea>
    <c:legend>
      <c:legendPos val="r"/>
      <c:layout>
        <c:manualLayout>
          <c:xMode val="edge"/>
          <c:yMode val="edge"/>
          <c:x val="0.65095218789359299"/>
          <c:y val="0.21417380342196701"/>
          <c:w val="0.34904781210640701"/>
          <c:h val="0.40828304657674602"/>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Low Global Satisfaction</c:v>
                </c:pt>
              </c:strCache>
            </c:strRef>
          </c:tx>
          <c:spPr>
            <a:solidFill>
              <a:schemeClr val="tx1"/>
            </a:solidFill>
            <a:ln>
              <a:solidFill>
                <a:schemeClr val="bg1">
                  <a:lumMod val="65000"/>
                </a:schemeClr>
              </a:solidFill>
              <a:prstDash val="sysDash"/>
            </a:ln>
          </c:spPr>
          <c:invertIfNegative val="0"/>
          <c:errBars>
            <c:errBarType val="both"/>
            <c:errValType val="cust"/>
            <c:noEndCap val="0"/>
            <c:plus>
              <c:numRef>
                <c:f>Sheet1!$B$10</c:f>
                <c:numCache>
                  <c:formatCode>General</c:formatCode>
                  <c:ptCount val="1"/>
                  <c:pt idx="0">
                    <c:v>0.59330499999999997</c:v>
                  </c:pt>
                </c:numCache>
              </c:numRef>
            </c:plus>
            <c:minus>
              <c:numRef>
                <c:f>Sheet1!$B$10</c:f>
                <c:numCache>
                  <c:formatCode>General</c:formatCode>
                  <c:ptCount val="1"/>
                  <c:pt idx="0">
                    <c:v>0.59330499999999997</c:v>
                  </c:pt>
                </c:numCache>
              </c:numRef>
            </c:minus>
          </c:errBars>
          <c:cat>
            <c:numRef>
              <c:f>Sheet1!$E$14:$E$15</c:f>
              <c:numCache>
                <c:formatCode>General</c:formatCode>
                <c:ptCount val="2"/>
                <c:pt idx="0">
                  <c:v>0</c:v>
                </c:pt>
                <c:pt idx="1">
                  <c:v>1</c:v>
                </c:pt>
              </c:numCache>
            </c:numRef>
          </c:cat>
          <c:val>
            <c:numRef>
              <c:f>Sheet1!$F$14:$F$15</c:f>
              <c:numCache>
                <c:formatCode>General</c:formatCode>
                <c:ptCount val="2"/>
                <c:pt idx="0">
                  <c:v>4.9227930000000004</c:v>
                </c:pt>
                <c:pt idx="1">
                  <c:v>3.9034300000000002</c:v>
                </c:pt>
              </c:numCache>
            </c:numRef>
          </c:val>
          <c:extLst xmlns:c16r2="http://schemas.microsoft.com/office/drawing/2015/06/chart">
            <c:ext xmlns:c16="http://schemas.microsoft.com/office/drawing/2014/chart" uri="{C3380CC4-5D6E-409C-BE32-E72D297353CC}">
              <c16:uniqueId val="{00000000-3D29-4A7B-91D7-CB70924D77B8}"/>
            </c:ext>
          </c:extLst>
        </c:ser>
        <c:ser>
          <c:idx val="1"/>
          <c:order val="1"/>
          <c:tx>
            <c:strRef>
              <c:f>Sheet1!$G$13</c:f>
              <c:strCache>
                <c:ptCount val="1"/>
                <c:pt idx="0">
                  <c:v>High Global Satisfaction</c:v>
                </c:pt>
              </c:strCache>
            </c:strRef>
          </c:tx>
          <c:spPr>
            <a:pattFill prst="pct50">
              <a:fgClr>
                <a:schemeClr val="tx1"/>
              </a:fgClr>
              <a:bgClr>
                <a:schemeClr val="bg1"/>
              </a:bgClr>
            </a:pattFill>
            <a:ln>
              <a:solidFill>
                <a:schemeClr val="tx1"/>
              </a:solidFill>
              <a:prstDash val="solid"/>
            </a:ln>
          </c:spPr>
          <c:invertIfNegative val="0"/>
          <c:errBars>
            <c:errBarType val="both"/>
            <c:errValType val="cust"/>
            <c:noEndCap val="0"/>
            <c:plus>
              <c:numRef>
                <c:f>Sheet1!$B$7</c:f>
                <c:numCache>
                  <c:formatCode>General</c:formatCode>
                  <c:ptCount val="1"/>
                  <c:pt idx="0">
                    <c:v>0.57036600000000004</c:v>
                  </c:pt>
                </c:numCache>
              </c:numRef>
            </c:plus>
            <c:minus>
              <c:numRef>
                <c:f>Sheet1!$B$7</c:f>
                <c:numCache>
                  <c:formatCode>General</c:formatCode>
                  <c:ptCount val="1"/>
                  <c:pt idx="0">
                    <c:v>0.57036600000000004</c:v>
                  </c:pt>
                </c:numCache>
              </c:numRef>
            </c:minus>
          </c:errBars>
          <c:cat>
            <c:numRef>
              <c:f>Sheet1!$E$14:$E$15</c:f>
              <c:numCache>
                <c:formatCode>General</c:formatCode>
                <c:ptCount val="2"/>
                <c:pt idx="0">
                  <c:v>0</c:v>
                </c:pt>
                <c:pt idx="1">
                  <c:v>1</c:v>
                </c:pt>
              </c:numCache>
            </c:numRef>
          </c:cat>
          <c:val>
            <c:numRef>
              <c:f>Sheet1!$G$14:$G$15</c:f>
              <c:numCache>
                <c:formatCode>General</c:formatCode>
                <c:ptCount val="2"/>
                <c:pt idx="0">
                  <c:v>4.2956940000000001</c:v>
                </c:pt>
                <c:pt idx="1">
                  <c:v>4.9523239999999999</c:v>
                </c:pt>
              </c:numCache>
            </c:numRef>
          </c:val>
          <c:extLst xmlns:c16r2="http://schemas.microsoft.com/office/drawing/2015/06/chart">
            <c:ext xmlns:c16="http://schemas.microsoft.com/office/drawing/2014/chart" uri="{C3380CC4-5D6E-409C-BE32-E72D297353CC}">
              <c16:uniqueId val="{00000001-3D29-4A7B-91D7-CB70924D77B8}"/>
            </c:ext>
          </c:extLst>
        </c:ser>
        <c:dLbls>
          <c:showLegendKey val="0"/>
          <c:showVal val="0"/>
          <c:showCatName val="0"/>
          <c:showSerName val="0"/>
          <c:showPercent val="0"/>
          <c:showBubbleSize val="0"/>
        </c:dLbls>
        <c:gapWidth val="150"/>
        <c:axId val="622028872"/>
        <c:axId val="622028480"/>
      </c:barChart>
      <c:catAx>
        <c:axId val="622028872"/>
        <c:scaling>
          <c:orientation val="minMax"/>
        </c:scaling>
        <c:delete val="0"/>
        <c:axPos val="b"/>
        <c:title>
          <c:tx>
            <c:rich>
              <a:bodyPr/>
              <a:lstStyle/>
              <a:p>
                <a:pPr>
                  <a:defRPr/>
                </a:pPr>
                <a:r>
                  <a:rPr lang="en-US" sz="1100"/>
                  <a:t>Partner </a:t>
                </a:r>
                <a:r>
                  <a:rPr lang="en-US" sz="1100" baseline="0"/>
                  <a:t>Uses Let Go</a:t>
                </a:r>
              </a:p>
            </c:rich>
          </c:tx>
          <c:layout>
            <c:manualLayout>
              <c:xMode val="edge"/>
              <c:yMode val="edge"/>
              <c:x val="0.21349265856444899"/>
              <c:y val="0.92384831401410905"/>
            </c:manualLayout>
          </c:layout>
          <c:overlay val="0"/>
        </c:title>
        <c:numFmt formatCode="General" sourceLinked="1"/>
        <c:majorTickMark val="out"/>
        <c:minorTickMark val="none"/>
        <c:tickLblPos val="nextTo"/>
        <c:crossAx val="622028480"/>
        <c:crossesAt val="0"/>
        <c:auto val="1"/>
        <c:lblAlgn val="ctr"/>
        <c:lblOffset val="100"/>
        <c:noMultiLvlLbl val="1"/>
      </c:catAx>
      <c:valAx>
        <c:axId val="622028480"/>
        <c:scaling>
          <c:orientation val="minMax"/>
        </c:scaling>
        <c:delete val="0"/>
        <c:axPos val="l"/>
        <c:majorGridlines/>
        <c:title>
          <c:tx>
            <c:rich>
              <a:bodyPr rot="-5400000" vert="horz"/>
              <a:lstStyle/>
              <a:p>
                <a:pPr>
                  <a:defRPr/>
                </a:pPr>
                <a:r>
                  <a:rPr lang="en-US"/>
                  <a:t>Actor's Daily Depressive Symptoms</a:t>
                </a:r>
              </a:p>
            </c:rich>
          </c:tx>
          <c:overlay val="0"/>
        </c:title>
        <c:numFmt formatCode="General" sourceLinked="1"/>
        <c:majorTickMark val="out"/>
        <c:minorTickMark val="none"/>
        <c:tickLblPos val="nextTo"/>
        <c:crossAx val="622028872"/>
        <c:crosses val="autoZero"/>
        <c:crossBetween val="between"/>
      </c:valAx>
    </c:plotArea>
    <c:legend>
      <c:legendPos val="r"/>
      <c:layout>
        <c:manualLayout>
          <c:xMode val="edge"/>
          <c:yMode val="edge"/>
          <c:x val="0.65088852354409199"/>
          <c:y val="0.34753665791776001"/>
          <c:w val="0.34911147645590801"/>
          <c:h val="0.21442819061660401"/>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0.11582294629211499"/>
          <c:y val="4.3421920890046803E-2"/>
          <c:w val="0.50426234966953998"/>
          <c:h val="0.79743660754605095"/>
        </c:manualLayout>
      </c:layout>
      <c:scatterChart>
        <c:scatterStyle val="lineMarker"/>
        <c:varyColors val="0"/>
        <c:ser>
          <c:idx val="0"/>
          <c:order val="0"/>
          <c:tx>
            <c:strRef>
              <c:f>Sheet1!$F$13</c:f>
              <c:strCache>
                <c:ptCount val="1"/>
                <c:pt idx="0">
                  <c:v>Few Conflicts Across Diary</c:v>
                </c:pt>
              </c:strCache>
            </c:strRef>
          </c:tx>
          <c:spPr>
            <a:ln>
              <a:solidFill>
                <a:schemeClr val="bg1">
                  <a:lumMod val="65000"/>
                </a:schemeClr>
              </a:solidFill>
              <a:prstDash val="sysDash"/>
            </a:ln>
          </c:spPr>
          <c:marker>
            <c:symbol val="none"/>
          </c:marker>
          <c:errBars>
            <c:errDir val="y"/>
            <c:errBarType val="both"/>
            <c:errValType val="cust"/>
            <c:noEndCap val="0"/>
            <c:plus>
              <c:numRef>
                <c:f>Sheet1!$B$10</c:f>
                <c:numCache>
                  <c:formatCode>General</c:formatCode>
                  <c:ptCount val="1"/>
                  <c:pt idx="0">
                    <c:v>0.33055299999999999</c:v>
                  </c:pt>
                </c:numCache>
              </c:numRef>
            </c:plus>
            <c:minus>
              <c:numRef>
                <c:f>Sheet1!$B$10</c:f>
                <c:numCache>
                  <c:formatCode>General</c:formatCode>
                  <c:ptCount val="1"/>
                  <c:pt idx="0">
                    <c:v>0.33055299999999999</c:v>
                  </c:pt>
                </c:numCache>
              </c:numRef>
            </c:minus>
          </c:errBars>
          <c:xVal>
            <c:numRef>
              <c:f>Sheet1!$E$14:$E$15</c:f>
              <c:numCache>
                <c:formatCode>General</c:formatCode>
                <c:ptCount val="2"/>
                <c:pt idx="0">
                  <c:v>0</c:v>
                </c:pt>
                <c:pt idx="1">
                  <c:v>10</c:v>
                </c:pt>
              </c:numCache>
            </c:numRef>
          </c:xVal>
          <c:yVal>
            <c:numRef>
              <c:f>Sheet1!$F$14:$F$15</c:f>
              <c:numCache>
                <c:formatCode>General</c:formatCode>
                <c:ptCount val="2"/>
                <c:pt idx="0">
                  <c:v>18.834523000000001</c:v>
                </c:pt>
                <c:pt idx="1">
                  <c:v>-4.8138869999999834</c:v>
                </c:pt>
              </c:numCache>
            </c:numRef>
          </c:yVal>
          <c:smooth val="0"/>
          <c:extLst xmlns:c16r2="http://schemas.microsoft.com/office/drawing/2015/06/chart">
            <c:ext xmlns:c16="http://schemas.microsoft.com/office/drawing/2014/chart" uri="{C3380CC4-5D6E-409C-BE32-E72D297353CC}">
              <c16:uniqueId val="{00000000-F23D-4B41-9EEC-4A616ABE8195}"/>
            </c:ext>
          </c:extLst>
        </c:ser>
        <c:ser>
          <c:idx val="1"/>
          <c:order val="1"/>
          <c:tx>
            <c:strRef>
              <c:f>Sheet1!$G$13</c:f>
              <c:strCache>
                <c:ptCount val="1"/>
                <c:pt idx="0">
                  <c:v>Many Conflicts Across Diary</c:v>
                </c:pt>
              </c:strCache>
            </c:strRef>
          </c:tx>
          <c:spPr>
            <a:ln>
              <a:solidFill>
                <a:schemeClr val="tx1"/>
              </a:solidFill>
              <a:prstDash val="solid"/>
            </a:ln>
          </c:spPr>
          <c:marker>
            <c:symbol val="none"/>
          </c:marker>
          <c:errBars>
            <c:errDir val="y"/>
            <c:errBarType val="both"/>
            <c:errValType val="cust"/>
            <c:noEndCap val="0"/>
            <c:plus>
              <c:numRef>
                <c:f>Sheet1!$B$7</c:f>
                <c:numCache>
                  <c:formatCode>General</c:formatCode>
                  <c:ptCount val="1"/>
                  <c:pt idx="0">
                    <c:v>0.78188800000000003</c:v>
                  </c:pt>
                </c:numCache>
              </c:numRef>
            </c:plus>
            <c:minus>
              <c:numRef>
                <c:f>Sheet1!$B$7</c:f>
                <c:numCache>
                  <c:formatCode>General</c:formatCode>
                  <c:ptCount val="1"/>
                  <c:pt idx="0">
                    <c:v>0.78188800000000003</c:v>
                  </c:pt>
                </c:numCache>
              </c:numRef>
            </c:minus>
          </c:errBars>
          <c:xVal>
            <c:numRef>
              <c:f>Sheet1!$E$14:$E$15</c:f>
              <c:numCache>
                <c:formatCode>General</c:formatCode>
                <c:ptCount val="2"/>
                <c:pt idx="0">
                  <c:v>0</c:v>
                </c:pt>
                <c:pt idx="1">
                  <c:v>10</c:v>
                </c:pt>
              </c:numCache>
            </c:numRef>
          </c:xVal>
          <c:yVal>
            <c:numRef>
              <c:f>Sheet1!$G$14:$G$15</c:f>
              <c:numCache>
                <c:formatCode>General</c:formatCode>
                <c:ptCount val="2"/>
                <c:pt idx="0">
                  <c:v>12.478083</c:v>
                </c:pt>
                <c:pt idx="1">
                  <c:v>6.6635329999999779</c:v>
                </c:pt>
              </c:numCache>
            </c:numRef>
          </c:yVal>
          <c:smooth val="0"/>
          <c:extLst xmlns:c16r2="http://schemas.microsoft.com/office/drawing/2015/06/chart">
            <c:ext xmlns:c16="http://schemas.microsoft.com/office/drawing/2014/chart" uri="{C3380CC4-5D6E-409C-BE32-E72D297353CC}">
              <c16:uniqueId val="{00000001-F23D-4B41-9EEC-4A616ABE8195}"/>
            </c:ext>
          </c:extLst>
        </c:ser>
        <c:dLbls>
          <c:showLegendKey val="0"/>
          <c:showVal val="0"/>
          <c:showCatName val="0"/>
          <c:showSerName val="0"/>
          <c:showPercent val="0"/>
          <c:showBubbleSize val="0"/>
        </c:dLbls>
        <c:axId val="622030440"/>
        <c:axId val="622029264"/>
      </c:scatterChart>
      <c:valAx>
        <c:axId val="622030440"/>
        <c:scaling>
          <c:orientation val="minMax"/>
        </c:scaling>
        <c:delete val="0"/>
        <c:axPos val="b"/>
        <c:title>
          <c:tx>
            <c:rich>
              <a:bodyPr/>
              <a:lstStyle/>
              <a:p>
                <a:pPr>
                  <a:defRPr/>
                </a:pPr>
                <a:r>
                  <a:rPr lang="en-US" sz="1100"/>
                  <a:t>Actor's</a:t>
                </a:r>
                <a:r>
                  <a:rPr lang="en-US" sz="1100" baseline="0"/>
                  <a:t> </a:t>
                </a:r>
                <a:r>
                  <a:rPr lang="en-US" sz="1100"/>
                  <a:t>Use</a:t>
                </a:r>
                <a:r>
                  <a:rPr lang="en-US" sz="1100" baseline="0"/>
                  <a:t> of Avoidance Across Diary</a:t>
                </a:r>
                <a:endParaRPr lang="en-US" sz="1100"/>
              </a:p>
            </c:rich>
          </c:tx>
          <c:layout>
            <c:manualLayout>
              <c:xMode val="edge"/>
              <c:yMode val="edge"/>
              <c:x val="0.21349265856444899"/>
              <c:y val="0.92384831401410905"/>
            </c:manualLayout>
          </c:layout>
          <c:overlay val="0"/>
        </c:title>
        <c:numFmt formatCode="General" sourceLinked="1"/>
        <c:majorTickMark val="out"/>
        <c:minorTickMark val="none"/>
        <c:tickLblPos val="nextTo"/>
        <c:crossAx val="622029264"/>
        <c:crossesAt val="-30"/>
        <c:crossBetween val="midCat"/>
      </c:valAx>
      <c:valAx>
        <c:axId val="622029264"/>
        <c:scaling>
          <c:orientation val="minMax"/>
        </c:scaling>
        <c:delete val="0"/>
        <c:axPos val="l"/>
        <c:majorGridlines/>
        <c:title>
          <c:tx>
            <c:rich>
              <a:bodyPr rot="-5400000" vert="horz"/>
              <a:lstStyle/>
              <a:p>
                <a:pPr>
                  <a:defRPr/>
                </a:pPr>
                <a:r>
                  <a:rPr lang="en-US"/>
                  <a:t>Actor's</a:t>
                </a:r>
                <a:r>
                  <a:rPr lang="en-US" baseline="0"/>
                  <a:t> Daily Positive Affect</a:t>
                </a:r>
                <a:endParaRPr lang="en-US"/>
              </a:p>
            </c:rich>
          </c:tx>
          <c:overlay val="0"/>
        </c:title>
        <c:numFmt formatCode="General" sourceLinked="1"/>
        <c:majorTickMark val="out"/>
        <c:minorTickMark val="none"/>
        <c:tickLblPos val="nextTo"/>
        <c:crossAx val="622030440"/>
        <c:crosses val="autoZero"/>
        <c:crossBetween val="midCat"/>
      </c:valAx>
    </c:plotArea>
    <c:legend>
      <c:legendPos val="r"/>
      <c:layout>
        <c:manualLayout>
          <c:xMode val="edge"/>
          <c:yMode val="edge"/>
          <c:x val="0.69598606006056596"/>
          <c:y val="0.21417380342196701"/>
          <c:w val="0.30401393993943399"/>
          <c:h val="0.40828304657674602"/>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0.11582294629211499"/>
          <c:y val="4.3421920890046803E-2"/>
          <c:w val="0.50426234966953998"/>
          <c:h val="0.79743660754605095"/>
        </c:manualLayout>
      </c:layout>
      <c:scatterChart>
        <c:scatterStyle val="lineMarker"/>
        <c:varyColors val="0"/>
        <c:ser>
          <c:idx val="0"/>
          <c:order val="0"/>
          <c:tx>
            <c:strRef>
              <c:f>Sheet1!$F$13</c:f>
              <c:strCache>
                <c:ptCount val="1"/>
                <c:pt idx="0">
                  <c:v>Few Conflicts Across Diary</c:v>
                </c:pt>
              </c:strCache>
            </c:strRef>
          </c:tx>
          <c:spPr>
            <a:ln>
              <a:solidFill>
                <a:schemeClr val="bg1">
                  <a:lumMod val="65000"/>
                </a:schemeClr>
              </a:solidFill>
              <a:prstDash val="sysDash"/>
            </a:ln>
          </c:spPr>
          <c:marker>
            <c:symbol val="none"/>
          </c:marker>
          <c:errBars>
            <c:errDir val="y"/>
            <c:errBarType val="both"/>
            <c:errValType val="cust"/>
            <c:noEndCap val="0"/>
            <c:plus>
              <c:numRef>
                <c:f>Sheet1!$B$10</c:f>
                <c:numCache>
                  <c:formatCode>General</c:formatCode>
                  <c:ptCount val="1"/>
                  <c:pt idx="0">
                    <c:v>0.171433</c:v>
                  </c:pt>
                </c:numCache>
              </c:numRef>
            </c:plus>
            <c:minus>
              <c:numRef>
                <c:f>Sheet1!$B$10</c:f>
                <c:numCache>
                  <c:formatCode>General</c:formatCode>
                  <c:ptCount val="1"/>
                  <c:pt idx="0">
                    <c:v>0.171433</c:v>
                  </c:pt>
                </c:numCache>
              </c:numRef>
            </c:minus>
          </c:errBars>
          <c:xVal>
            <c:numRef>
              <c:f>Sheet1!$E$14:$E$15</c:f>
              <c:numCache>
                <c:formatCode>General</c:formatCode>
                <c:ptCount val="2"/>
                <c:pt idx="0">
                  <c:v>0</c:v>
                </c:pt>
                <c:pt idx="1">
                  <c:v>10</c:v>
                </c:pt>
              </c:numCache>
            </c:numRef>
          </c:xVal>
          <c:yVal>
            <c:numRef>
              <c:f>Sheet1!$F$14:$F$15</c:f>
              <c:numCache>
                <c:formatCode>General</c:formatCode>
                <c:ptCount val="2"/>
                <c:pt idx="0">
                  <c:v>5.8024079999999856</c:v>
                </c:pt>
                <c:pt idx="1">
                  <c:v>17.574648</c:v>
                </c:pt>
              </c:numCache>
            </c:numRef>
          </c:yVal>
          <c:smooth val="0"/>
          <c:extLst xmlns:c16r2="http://schemas.microsoft.com/office/drawing/2015/06/chart">
            <c:ext xmlns:c16="http://schemas.microsoft.com/office/drawing/2014/chart" uri="{C3380CC4-5D6E-409C-BE32-E72D297353CC}">
              <c16:uniqueId val="{00000000-CA50-4E91-AC93-B43AEADFF8E3}"/>
            </c:ext>
          </c:extLst>
        </c:ser>
        <c:ser>
          <c:idx val="1"/>
          <c:order val="1"/>
          <c:tx>
            <c:strRef>
              <c:f>Sheet1!$G$13</c:f>
              <c:strCache>
                <c:ptCount val="1"/>
                <c:pt idx="0">
                  <c:v>Many Conflicts Across Diary</c:v>
                </c:pt>
              </c:strCache>
            </c:strRef>
          </c:tx>
          <c:spPr>
            <a:ln>
              <a:solidFill>
                <a:schemeClr val="tx1"/>
              </a:solidFill>
              <a:prstDash val="solid"/>
            </a:ln>
          </c:spPr>
          <c:marker>
            <c:symbol val="none"/>
          </c:marker>
          <c:errBars>
            <c:errDir val="y"/>
            <c:errBarType val="both"/>
            <c:errValType val="cust"/>
            <c:noEndCap val="0"/>
            <c:plus>
              <c:numRef>
                <c:f>Sheet1!$B$7</c:f>
                <c:numCache>
                  <c:formatCode>General</c:formatCode>
                  <c:ptCount val="1"/>
                  <c:pt idx="0">
                    <c:v>0.40467399999999998</c:v>
                  </c:pt>
                </c:numCache>
              </c:numRef>
            </c:plus>
            <c:minus>
              <c:numRef>
                <c:f>Sheet1!$B$7</c:f>
                <c:numCache>
                  <c:formatCode>General</c:formatCode>
                  <c:ptCount val="1"/>
                  <c:pt idx="0">
                    <c:v>0.40467399999999998</c:v>
                  </c:pt>
                </c:numCache>
              </c:numRef>
            </c:minus>
          </c:errBars>
          <c:xVal>
            <c:numRef>
              <c:f>Sheet1!$E$14:$E$15</c:f>
              <c:numCache>
                <c:formatCode>General</c:formatCode>
                <c:ptCount val="2"/>
                <c:pt idx="0">
                  <c:v>0</c:v>
                </c:pt>
                <c:pt idx="1">
                  <c:v>10</c:v>
                </c:pt>
              </c:numCache>
            </c:numRef>
          </c:xVal>
          <c:yVal>
            <c:numRef>
              <c:f>Sheet1!$G$14:$G$15</c:f>
              <c:numCache>
                <c:formatCode>General</c:formatCode>
                <c:ptCount val="2"/>
                <c:pt idx="0">
                  <c:v>4.2500669999999996</c:v>
                </c:pt>
                <c:pt idx="1">
                  <c:v>9.7919169999999962</c:v>
                </c:pt>
              </c:numCache>
            </c:numRef>
          </c:yVal>
          <c:smooth val="0"/>
          <c:extLst xmlns:c16r2="http://schemas.microsoft.com/office/drawing/2015/06/chart">
            <c:ext xmlns:c16="http://schemas.microsoft.com/office/drawing/2014/chart" uri="{C3380CC4-5D6E-409C-BE32-E72D297353CC}">
              <c16:uniqueId val="{00000001-CA50-4E91-AC93-B43AEADFF8E3}"/>
            </c:ext>
          </c:extLst>
        </c:ser>
        <c:dLbls>
          <c:showLegendKey val="0"/>
          <c:showVal val="0"/>
          <c:showCatName val="0"/>
          <c:showSerName val="0"/>
          <c:showPercent val="0"/>
          <c:showBubbleSize val="0"/>
        </c:dLbls>
        <c:axId val="622030048"/>
        <c:axId val="622026912"/>
      </c:scatterChart>
      <c:valAx>
        <c:axId val="622030048"/>
        <c:scaling>
          <c:orientation val="minMax"/>
        </c:scaling>
        <c:delete val="0"/>
        <c:axPos val="b"/>
        <c:title>
          <c:tx>
            <c:rich>
              <a:bodyPr/>
              <a:lstStyle/>
              <a:p>
                <a:pPr>
                  <a:defRPr/>
                </a:pPr>
                <a:r>
                  <a:rPr lang="en-US" sz="1100"/>
                  <a:t>Actor's</a:t>
                </a:r>
                <a:r>
                  <a:rPr lang="en-US" sz="1100" baseline="0"/>
                  <a:t> </a:t>
                </a:r>
                <a:r>
                  <a:rPr lang="en-US" sz="1100"/>
                  <a:t>Use</a:t>
                </a:r>
                <a:r>
                  <a:rPr lang="en-US" sz="1100" baseline="0"/>
                  <a:t> of Avoidance Across Diary</a:t>
                </a:r>
                <a:endParaRPr lang="en-US" sz="1100"/>
              </a:p>
            </c:rich>
          </c:tx>
          <c:layout>
            <c:manualLayout>
              <c:xMode val="edge"/>
              <c:yMode val="edge"/>
              <c:x val="0.21349265856444899"/>
              <c:y val="0.92384831401410905"/>
            </c:manualLayout>
          </c:layout>
          <c:overlay val="0"/>
        </c:title>
        <c:numFmt formatCode="General" sourceLinked="1"/>
        <c:majorTickMark val="out"/>
        <c:minorTickMark val="none"/>
        <c:tickLblPos val="nextTo"/>
        <c:crossAx val="622026912"/>
        <c:crossesAt val="-30"/>
        <c:crossBetween val="midCat"/>
      </c:valAx>
      <c:valAx>
        <c:axId val="622026912"/>
        <c:scaling>
          <c:orientation val="minMax"/>
        </c:scaling>
        <c:delete val="0"/>
        <c:axPos val="l"/>
        <c:majorGridlines/>
        <c:title>
          <c:tx>
            <c:rich>
              <a:bodyPr rot="-5400000" vert="horz"/>
              <a:lstStyle/>
              <a:p>
                <a:pPr>
                  <a:defRPr/>
                </a:pPr>
                <a:r>
                  <a:rPr lang="en-US"/>
                  <a:t>Actor's</a:t>
                </a:r>
                <a:r>
                  <a:rPr lang="en-US" baseline="0"/>
                  <a:t> Daily Depressive Symptoms</a:t>
                </a:r>
                <a:endParaRPr lang="en-US"/>
              </a:p>
            </c:rich>
          </c:tx>
          <c:overlay val="0"/>
        </c:title>
        <c:numFmt formatCode="General" sourceLinked="1"/>
        <c:majorTickMark val="out"/>
        <c:minorTickMark val="none"/>
        <c:tickLblPos val="nextTo"/>
        <c:crossAx val="622030048"/>
        <c:crosses val="autoZero"/>
        <c:crossBetween val="midCat"/>
      </c:valAx>
    </c:plotArea>
    <c:legend>
      <c:legendPos val="r"/>
      <c:layout>
        <c:manualLayout>
          <c:xMode val="edge"/>
          <c:yMode val="edge"/>
          <c:x val="0.69598606006056596"/>
          <c:y val="0.21417380342196701"/>
          <c:w val="0.30401393993943399"/>
          <c:h val="0.40828304657674602"/>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Few Conflicts Across Diary Period</c:v>
                </c:pt>
              </c:strCache>
            </c:strRef>
          </c:tx>
          <c:spPr>
            <a:solidFill>
              <a:schemeClr val="tx1"/>
            </a:solidFill>
            <a:ln>
              <a:solidFill>
                <a:schemeClr val="bg1">
                  <a:lumMod val="65000"/>
                </a:schemeClr>
              </a:solidFill>
              <a:prstDash val="sysDash"/>
            </a:ln>
          </c:spPr>
          <c:invertIfNegative val="0"/>
          <c:errBars>
            <c:errBarType val="both"/>
            <c:errValType val="cust"/>
            <c:noEndCap val="0"/>
            <c:plus>
              <c:numRef>
                <c:f>Sheet1!$B$10</c:f>
                <c:numCache>
                  <c:formatCode>General</c:formatCode>
                  <c:ptCount val="1"/>
                  <c:pt idx="0">
                    <c:v>0.86530499999999999</c:v>
                  </c:pt>
                </c:numCache>
              </c:numRef>
            </c:plus>
            <c:minus>
              <c:numRef>
                <c:f>Sheet1!$B$10</c:f>
                <c:numCache>
                  <c:formatCode>General</c:formatCode>
                  <c:ptCount val="1"/>
                  <c:pt idx="0">
                    <c:v>0.86530499999999999</c:v>
                  </c:pt>
                </c:numCache>
              </c:numRef>
            </c:minus>
          </c:errBars>
          <c:cat>
            <c:numRef>
              <c:f>Sheet1!$E$14:$E$15</c:f>
              <c:numCache>
                <c:formatCode>General</c:formatCode>
                <c:ptCount val="2"/>
                <c:pt idx="0">
                  <c:v>0</c:v>
                </c:pt>
                <c:pt idx="1">
                  <c:v>1</c:v>
                </c:pt>
              </c:numCache>
            </c:numRef>
          </c:cat>
          <c:val>
            <c:numRef>
              <c:f>Sheet1!$F$14:$F$15</c:f>
              <c:numCache>
                <c:formatCode>General</c:formatCode>
                <c:ptCount val="2"/>
                <c:pt idx="0">
                  <c:v>19.87555</c:v>
                </c:pt>
                <c:pt idx="1">
                  <c:v>18.392441000000002</c:v>
                </c:pt>
              </c:numCache>
            </c:numRef>
          </c:val>
          <c:extLst xmlns:c16r2="http://schemas.microsoft.com/office/drawing/2015/06/chart">
            <c:ext xmlns:c16="http://schemas.microsoft.com/office/drawing/2014/chart" uri="{C3380CC4-5D6E-409C-BE32-E72D297353CC}">
              <c16:uniqueId val="{00000000-D072-4C3D-87E2-FEA4A067C5EA}"/>
            </c:ext>
          </c:extLst>
        </c:ser>
        <c:ser>
          <c:idx val="1"/>
          <c:order val="1"/>
          <c:tx>
            <c:strRef>
              <c:f>Sheet1!$G$13</c:f>
              <c:strCache>
                <c:ptCount val="1"/>
                <c:pt idx="0">
                  <c:v>Many Conflicts Across Diary Period</c:v>
                </c:pt>
              </c:strCache>
            </c:strRef>
          </c:tx>
          <c:spPr>
            <a:pattFill prst="pct50">
              <a:fgClr>
                <a:schemeClr val="tx1"/>
              </a:fgClr>
              <a:bgClr>
                <a:schemeClr val="bg1"/>
              </a:bgClr>
            </a:pattFill>
            <a:ln>
              <a:solidFill>
                <a:schemeClr val="tx1"/>
              </a:solidFill>
              <a:prstDash val="solid"/>
            </a:ln>
          </c:spPr>
          <c:invertIfNegative val="0"/>
          <c:errBars>
            <c:errBarType val="both"/>
            <c:errValType val="cust"/>
            <c:noEndCap val="0"/>
            <c:plus>
              <c:numRef>
                <c:f>Sheet1!$B$7</c:f>
                <c:numCache>
                  <c:formatCode>General</c:formatCode>
                  <c:ptCount val="1"/>
                  <c:pt idx="0">
                    <c:v>1.8300350000000001</c:v>
                  </c:pt>
                </c:numCache>
              </c:numRef>
            </c:plus>
            <c:minus>
              <c:numRef>
                <c:f>Sheet1!$B$7</c:f>
                <c:numCache>
                  <c:formatCode>General</c:formatCode>
                  <c:ptCount val="1"/>
                  <c:pt idx="0">
                    <c:v>1.8300350000000001</c:v>
                  </c:pt>
                </c:numCache>
              </c:numRef>
            </c:minus>
          </c:errBars>
          <c:cat>
            <c:numRef>
              <c:f>Sheet1!$E$14:$E$15</c:f>
              <c:numCache>
                <c:formatCode>General</c:formatCode>
                <c:ptCount val="2"/>
                <c:pt idx="0">
                  <c:v>0</c:v>
                </c:pt>
                <c:pt idx="1">
                  <c:v>1</c:v>
                </c:pt>
              </c:numCache>
            </c:numRef>
          </c:cat>
          <c:val>
            <c:numRef>
              <c:f>Sheet1!$G$14:$G$15</c:f>
              <c:numCache>
                <c:formatCode>General</c:formatCode>
                <c:ptCount val="2"/>
                <c:pt idx="0">
                  <c:v>17.319151999999999</c:v>
                </c:pt>
                <c:pt idx="1">
                  <c:v>18.917414999999991</c:v>
                </c:pt>
              </c:numCache>
            </c:numRef>
          </c:val>
          <c:extLst xmlns:c16r2="http://schemas.microsoft.com/office/drawing/2015/06/chart">
            <c:ext xmlns:c16="http://schemas.microsoft.com/office/drawing/2014/chart" uri="{C3380CC4-5D6E-409C-BE32-E72D297353CC}">
              <c16:uniqueId val="{00000001-D072-4C3D-87E2-FEA4A067C5EA}"/>
            </c:ext>
          </c:extLst>
        </c:ser>
        <c:dLbls>
          <c:showLegendKey val="0"/>
          <c:showVal val="0"/>
          <c:showCatName val="0"/>
          <c:showSerName val="0"/>
          <c:showPercent val="0"/>
          <c:showBubbleSize val="0"/>
        </c:dLbls>
        <c:gapWidth val="150"/>
        <c:axId val="332325392"/>
        <c:axId val="332323824"/>
      </c:barChart>
      <c:catAx>
        <c:axId val="332325392"/>
        <c:scaling>
          <c:orientation val="minMax"/>
        </c:scaling>
        <c:delete val="0"/>
        <c:axPos val="b"/>
        <c:title>
          <c:tx>
            <c:rich>
              <a:bodyPr/>
              <a:lstStyle/>
              <a:p>
                <a:pPr>
                  <a:defRPr/>
                </a:pPr>
                <a:r>
                  <a:rPr lang="en-US" sz="1100"/>
                  <a:t>Actor</a:t>
                </a:r>
                <a:r>
                  <a:rPr lang="en-US" sz="1100" baseline="0"/>
                  <a:t> </a:t>
                </a:r>
                <a:r>
                  <a:rPr lang="en-US" sz="1100"/>
                  <a:t>Uses Active Repair</a:t>
                </a:r>
                <a:endParaRPr lang="en-US" sz="1100" baseline="0"/>
              </a:p>
            </c:rich>
          </c:tx>
          <c:layout>
            <c:manualLayout>
              <c:xMode val="edge"/>
              <c:yMode val="edge"/>
              <c:x val="0.21349265856444899"/>
              <c:y val="0.92384831401410905"/>
            </c:manualLayout>
          </c:layout>
          <c:overlay val="0"/>
        </c:title>
        <c:numFmt formatCode="General" sourceLinked="1"/>
        <c:majorTickMark val="out"/>
        <c:minorTickMark val="none"/>
        <c:tickLblPos val="nextTo"/>
        <c:crossAx val="332323824"/>
        <c:crossesAt val="0"/>
        <c:auto val="1"/>
        <c:lblAlgn val="ctr"/>
        <c:lblOffset val="100"/>
        <c:noMultiLvlLbl val="1"/>
      </c:catAx>
      <c:valAx>
        <c:axId val="332323824"/>
        <c:scaling>
          <c:orientation val="minMax"/>
        </c:scaling>
        <c:delete val="0"/>
        <c:axPos val="l"/>
        <c:majorGridlines/>
        <c:title>
          <c:tx>
            <c:rich>
              <a:bodyPr rot="-5400000" vert="horz"/>
              <a:lstStyle/>
              <a:p>
                <a:pPr>
                  <a:defRPr/>
                </a:pPr>
                <a:r>
                  <a:rPr lang="en-US"/>
                  <a:t>Actor's Daily</a:t>
                </a:r>
                <a:r>
                  <a:rPr lang="en-US" baseline="0"/>
                  <a:t> Understanding/Appreciation</a:t>
                </a:r>
                <a:endParaRPr lang="en-US"/>
              </a:p>
            </c:rich>
          </c:tx>
          <c:overlay val="0"/>
        </c:title>
        <c:numFmt formatCode="General" sourceLinked="1"/>
        <c:majorTickMark val="out"/>
        <c:minorTickMark val="none"/>
        <c:tickLblPos val="nextTo"/>
        <c:crossAx val="332325392"/>
        <c:crosses val="autoZero"/>
        <c:crossBetween val="between"/>
      </c:valAx>
    </c:plotArea>
    <c:legend>
      <c:legendPos val="r"/>
      <c:layout>
        <c:manualLayout>
          <c:xMode val="edge"/>
          <c:yMode val="edge"/>
          <c:x val="0.64846799779065101"/>
          <c:y val="0.34753665791776001"/>
          <c:w val="0.35153200220934899"/>
          <c:h val="0.25110300082380499"/>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Few Conflicts Across Diary Period</c:v>
                </c:pt>
              </c:strCache>
            </c:strRef>
          </c:tx>
          <c:spPr>
            <a:solidFill>
              <a:schemeClr val="tx1"/>
            </a:solidFill>
            <a:ln>
              <a:solidFill>
                <a:schemeClr val="bg1">
                  <a:lumMod val="65000"/>
                </a:schemeClr>
              </a:solidFill>
              <a:prstDash val="sysDash"/>
            </a:ln>
          </c:spPr>
          <c:invertIfNegative val="0"/>
          <c:errBars>
            <c:errBarType val="both"/>
            <c:errValType val="cust"/>
            <c:noEndCap val="0"/>
            <c:plus>
              <c:numRef>
                <c:f>Sheet1!$B$10</c:f>
                <c:numCache>
                  <c:formatCode>General</c:formatCode>
                  <c:ptCount val="1"/>
                  <c:pt idx="0">
                    <c:v>0.32571499999999998</c:v>
                  </c:pt>
                </c:numCache>
              </c:numRef>
            </c:plus>
            <c:minus>
              <c:numRef>
                <c:f>Sheet1!$B$10</c:f>
                <c:numCache>
                  <c:formatCode>General</c:formatCode>
                  <c:ptCount val="1"/>
                  <c:pt idx="0">
                    <c:v>0.32571499999999998</c:v>
                  </c:pt>
                </c:numCache>
              </c:numRef>
            </c:minus>
          </c:errBars>
          <c:cat>
            <c:numRef>
              <c:f>Sheet1!$E$14:$E$15</c:f>
              <c:numCache>
                <c:formatCode>General</c:formatCode>
                <c:ptCount val="2"/>
                <c:pt idx="0">
                  <c:v>0</c:v>
                </c:pt>
                <c:pt idx="1">
                  <c:v>1</c:v>
                </c:pt>
              </c:numCache>
            </c:numRef>
          </c:cat>
          <c:val>
            <c:numRef>
              <c:f>Sheet1!$F$14:$F$15</c:f>
              <c:numCache>
                <c:formatCode>General</c:formatCode>
                <c:ptCount val="2"/>
                <c:pt idx="0">
                  <c:v>16.013204999999999</c:v>
                </c:pt>
                <c:pt idx="1">
                  <c:v>14.403483</c:v>
                </c:pt>
              </c:numCache>
            </c:numRef>
          </c:val>
          <c:extLst xmlns:c16r2="http://schemas.microsoft.com/office/drawing/2015/06/chart">
            <c:ext xmlns:c16="http://schemas.microsoft.com/office/drawing/2014/chart" uri="{C3380CC4-5D6E-409C-BE32-E72D297353CC}">
              <c16:uniqueId val="{00000000-B4DC-42A0-9659-EE931D936EBA}"/>
            </c:ext>
          </c:extLst>
        </c:ser>
        <c:ser>
          <c:idx val="1"/>
          <c:order val="1"/>
          <c:tx>
            <c:strRef>
              <c:f>Sheet1!$G$13</c:f>
              <c:strCache>
                <c:ptCount val="1"/>
                <c:pt idx="0">
                  <c:v>Many Conflicts Across Diary Period</c:v>
                </c:pt>
              </c:strCache>
            </c:strRef>
          </c:tx>
          <c:spPr>
            <a:pattFill prst="pct50">
              <a:fgClr>
                <a:schemeClr val="tx1"/>
              </a:fgClr>
              <a:bgClr>
                <a:schemeClr val="bg1"/>
              </a:bgClr>
            </a:pattFill>
            <a:ln>
              <a:solidFill>
                <a:schemeClr val="tx1"/>
              </a:solidFill>
              <a:prstDash val="solid"/>
            </a:ln>
          </c:spPr>
          <c:invertIfNegative val="0"/>
          <c:errBars>
            <c:errBarType val="both"/>
            <c:errValType val="cust"/>
            <c:noEndCap val="0"/>
            <c:plus>
              <c:numRef>
                <c:f>Sheet1!$B$7</c:f>
                <c:numCache>
                  <c:formatCode>General</c:formatCode>
                  <c:ptCount val="1"/>
                  <c:pt idx="0">
                    <c:v>0.67963300000000004</c:v>
                  </c:pt>
                </c:numCache>
              </c:numRef>
            </c:plus>
            <c:minus>
              <c:numRef>
                <c:f>Sheet1!$B$7</c:f>
                <c:numCache>
                  <c:formatCode>General</c:formatCode>
                  <c:ptCount val="1"/>
                  <c:pt idx="0">
                    <c:v>0.67963300000000004</c:v>
                  </c:pt>
                </c:numCache>
              </c:numRef>
            </c:minus>
          </c:errBars>
          <c:cat>
            <c:numRef>
              <c:f>Sheet1!$E$14:$E$15</c:f>
              <c:numCache>
                <c:formatCode>General</c:formatCode>
                <c:ptCount val="2"/>
                <c:pt idx="0">
                  <c:v>0</c:v>
                </c:pt>
                <c:pt idx="1">
                  <c:v>1</c:v>
                </c:pt>
              </c:numCache>
            </c:numRef>
          </c:cat>
          <c:val>
            <c:numRef>
              <c:f>Sheet1!$G$14:$G$15</c:f>
              <c:numCache>
                <c:formatCode>General</c:formatCode>
                <c:ptCount val="2"/>
                <c:pt idx="0">
                  <c:v>19.027843000000001</c:v>
                </c:pt>
                <c:pt idx="1">
                  <c:v>18.897864999999999</c:v>
                </c:pt>
              </c:numCache>
            </c:numRef>
          </c:val>
          <c:extLst xmlns:c16r2="http://schemas.microsoft.com/office/drawing/2015/06/chart">
            <c:ext xmlns:c16="http://schemas.microsoft.com/office/drawing/2014/chart" uri="{C3380CC4-5D6E-409C-BE32-E72D297353CC}">
              <c16:uniqueId val="{00000001-B4DC-42A0-9659-EE931D936EBA}"/>
            </c:ext>
          </c:extLst>
        </c:ser>
        <c:dLbls>
          <c:showLegendKey val="0"/>
          <c:showVal val="0"/>
          <c:showCatName val="0"/>
          <c:showSerName val="0"/>
          <c:showPercent val="0"/>
          <c:showBubbleSize val="0"/>
        </c:dLbls>
        <c:gapWidth val="150"/>
        <c:axId val="332327352"/>
        <c:axId val="332325784"/>
      </c:barChart>
      <c:catAx>
        <c:axId val="332327352"/>
        <c:scaling>
          <c:orientation val="minMax"/>
        </c:scaling>
        <c:delete val="0"/>
        <c:axPos val="b"/>
        <c:title>
          <c:tx>
            <c:rich>
              <a:bodyPr/>
              <a:lstStyle/>
              <a:p>
                <a:pPr>
                  <a:defRPr/>
                </a:pPr>
                <a:r>
                  <a:rPr lang="en-US" sz="1100"/>
                  <a:t>Actor Uses Gain Perspective</a:t>
                </a:r>
                <a:endParaRPr lang="en-US" sz="1100" baseline="0"/>
              </a:p>
            </c:rich>
          </c:tx>
          <c:layout>
            <c:manualLayout>
              <c:xMode val="edge"/>
              <c:yMode val="edge"/>
              <c:x val="0.21349265856444899"/>
              <c:y val="0.92384831401410905"/>
            </c:manualLayout>
          </c:layout>
          <c:overlay val="0"/>
        </c:title>
        <c:numFmt formatCode="General" sourceLinked="1"/>
        <c:majorTickMark val="out"/>
        <c:minorTickMark val="none"/>
        <c:tickLblPos val="nextTo"/>
        <c:crossAx val="332325784"/>
        <c:crossesAt val="0"/>
        <c:auto val="1"/>
        <c:lblAlgn val="ctr"/>
        <c:lblOffset val="100"/>
        <c:noMultiLvlLbl val="1"/>
      </c:catAx>
      <c:valAx>
        <c:axId val="332325784"/>
        <c:scaling>
          <c:orientation val="minMax"/>
        </c:scaling>
        <c:delete val="0"/>
        <c:axPos val="l"/>
        <c:majorGridlines/>
        <c:title>
          <c:tx>
            <c:rich>
              <a:bodyPr rot="-5400000" vert="horz"/>
              <a:lstStyle/>
              <a:p>
                <a:pPr>
                  <a:defRPr/>
                </a:pPr>
                <a:r>
                  <a:rPr lang="en-US"/>
                  <a:t>Actor's Daily Relationship</a:t>
                </a:r>
                <a:r>
                  <a:rPr lang="en-US" baseline="0"/>
                  <a:t> Satisfaction</a:t>
                </a:r>
                <a:endParaRPr lang="en-US"/>
              </a:p>
            </c:rich>
          </c:tx>
          <c:overlay val="0"/>
        </c:title>
        <c:numFmt formatCode="General" sourceLinked="1"/>
        <c:majorTickMark val="out"/>
        <c:minorTickMark val="none"/>
        <c:tickLblPos val="nextTo"/>
        <c:crossAx val="332327352"/>
        <c:crosses val="autoZero"/>
        <c:crossBetween val="between"/>
      </c:valAx>
    </c:plotArea>
    <c:legend>
      <c:legendPos val="r"/>
      <c:layout>
        <c:manualLayout>
          <c:xMode val="edge"/>
          <c:yMode val="edge"/>
          <c:x val="0.64846799779065101"/>
          <c:y val="0.34753665791776001"/>
          <c:w val="0.35153200220934899"/>
          <c:h val="0.25110300082380499"/>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0.11582294629211499"/>
          <c:y val="4.3421920890046803E-2"/>
          <c:w val="0.50426234966953998"/>
          <c:h val="0.79743660754605095"/>
        </c:manualLayout>
      </c:layout>
      <c:scatterChart>
        <c:scatterStyle val="lineMarker"/>
        <c:varyColors val="0"/>
        <c:ser>
          <c:idx val="0"/>
          <c:order val="0"/>
          <c:tx>
            <c:strRef>
              <c:f>Sheet1!$F$13</c:f>
              <c:strCache>
                <c:ptCount val="1"/>
                <c:pt idx="0">
                  <c:v>Few Conflicts Across Diary</c:v>
                </c:pt>
              </c:strCache>
            </c:strRef>
          </c:tx>
          <c:spPr>
            <a:ln>
              <a:solidFill>
                <a:schemeClr val="bg1">
                  <a:lumMod val="65000"/>
                </a:schemeClr>
              </a:solidFill>
              <a:prstDash val="sysDash"/>
            </a:ln>
          </c:spPr>
          <c:marker>
            <c:symbol val="none"/>
          </c:marker>
          <c:errBars>
            <c:errDir val="y"/>
            <c:errBarType val="both"/>
            <c:errValType val="cust"/>
            <c:noEndCap val="0"/>
            <c:plus>
              <c:numRef>
                <c:f>Sheet1!$B$10</c:f>
                <c:numCache>
                  <c:formatCode>General</c:formatCode>
                  <c:ptCount val="1"/>
                  <c:pt idx="0">
                    <c:v>0.28000799999999998</c:v>
                  </c:pt>
                </c:numCache>
              </c:numRef>
            </c:plus>
            <c:minus>
              <c:numRef>
                <c:f>Sheet1!$B$10</c:f>
                <c:numCache>
                  <c:formatCode>General</c:formatCode>
                  <c:ptCount val="1"/>
                  <c:pt idx="0">
                    <c:v>0.28000799999999998</c:v>
                  </c:pt>
                </c:numCache>
              </c:numRef>
            </c:minus>
          </c:errBars>
          <c:xVal>
            <c:numRef>
              <c:f>Sheet1!$E$14:$E$15</c:f>
              <c:numCache>
                <c:formatCode>General</c:formatCode>
                <c:ptCount val="2"/>
                <c:pt idx="0">
                  <c:v>0</c:v>
                </c:pt>
                <c:pt idx="1">
                  <c:v>10</c:v>
                </c:pt>
              </c:numCache>
            </c:numRef>
          </c:xVal>
          <c:yVal>
            <c:numRef>
              <c:f>Sheet1!$F$14:$F$15</c:f>
              <c:numCache>
                <c:formatCode>General</c:formatCode>
                <c:ptCount val="2"/>
                <c:pt idx="0">
                  <c:v>19.87555</c:v>
                </c:pt>
                <c:pt idx="1">
                  <c:v>34.876429999999999</c:v>
                </c:pt>
              </c:numCache>
            </c:numRef>
          </c:yVal>
          <c:smooth val="0"/>
          <c:extLst xmlns:c16r2="http://schemas.microsoft.com/office/drawing/2015/06/chart">
            <c:ext xmlns:c16="http://schemas.microsoft.com/office/drawing/2014/chart" uri="{C3380CC4-5D6E-409C-BE32-E72D297353CC}">
              <c16:uniqueId val="{00000000-91B1-46FF-A4F6-484369EA0B0E}"/>
            </c:ext>
          </c:extLst>
        </c:ser>
        <c:ser>
          <c:idx val="1"/>
          <c:order val="1"/>
          <c:tx>
            <c:strRef>
              <c:f>Sheet1!$G$13</c:f>
              <c:strCache>
                <c:ptCount val="1"/>
                <c:pt idx="0">
                  <c:v>Many Conflicts Across Diary</c:v>
                </c:pt>
              </c:strCache>
            </c:strRef>
          </c:tx>
          <c:spPr>
            <a:ln>
              <a:solidFill>
                <a:schemeClr val="tx1"/>
              </a:solidFill>
              <a:prstDash val="solid"/>
            </a:ln>
          </c:spPr>
          <c:marker>
            <c:symbol val="none"/>
          </c:marker>
          <c:errBars>
            <c:errDir val="y"/>
            <c:errBarType val="both"/>
            <c:errValType val="cust"/>
            <c:noEndCap val="0"/>
            <c:plus>
              <c:numRef>
                <c:f>Sheet1!$B$7</c:f>
                <c:numCache>
                  <c:formatCode>General</c:formatCode>
                  <c:ptCount val="1"/>
                  <c:pt idx="0">
                    <c:v>0.63534999999999997</c:v>
                  </c:pt>
                </c:numCache>
              </c:numRef>
            </c:plus>
            <c:minus>
              <c:numRef>
                <c:f>Sheet1!$B$7</c:f>
                <c:numCache>
                  <c:formatCode>General</c:formatCode>
                  <c:ptCount val="1"/>
                  <c:pt idx="0">
                    <c:v>0.63534999999999997</c:v>
                  </c:pt>
                </c:numCache>
              </c:numRef>
            </c:minus>
          </c:errBars>
          <c:xVal>
            <c:numRef>
              <c:f>Sheet1!$E$14:$E$15</c:f>
              <c:numCache>
                <c:formatCode>General</c:formatCode>
                <c:ptCount val="2"/>
                <c:pt idx="0">
                  <c:v>0</c:v>
                </c:pt>
                <c:pt idx="1">
                  <c:v>10</c:v>
                </c:pt>
              </c:numCache>
            </c:numRef>
          </c:xVal>
          <c:yVal>
            <c:numRef>
              <c:f>Sheet1!$G$14:$G$15</c:f>
              <c:numCache>
                <c:formatCode>General</c:formatCode>
                <c:ptCount val="2"/>
                <c:pt idx="0">
                  <c:v>17.319151999999999</c:v>
                </c:pt>
                <c:pt idx="1">
                  <c:v>22.947502</c:v>
                </c:pt>
              </c:numCache>
            </c:numRef>
          </c:yVal>
          <c:smooth val="0"/>
          <c:extLst xmlns:c16r2="http://schemas.microsoft.com/office/drawing/2015/06/chart">
            <c:ext xmlns:c16="http://schemas.microsoft.com/office/drawing/2014/chart" uri="{C3380CC4-5D6E-409C-BE32-E72D297353CC}">
              <c16:uniqueId val="{00000001-91B1-46FF-A4F6-484369EA0B0E}"/>
            </c:ext>
          </c:extLst>
        </c:ser>
        <c:dLbls>
          <c:showLegendKey val="0"/>
          <c:showVal val="0"/>
          <c:showCatName val="0"/>
          <c:showSerName val="0"/>
          <c:showPercent val="0"/>
          <c:showBubbleSize val="0"/>
        </c:dLbls>
        <c:axId val="332324216"/>
        <c:axId val="332326568"/>
      </c:scatterChart>
      <c:valAx>
        <c:axId val="332324216"/>
        <c:scaling>
          <c:orientation val="minMax"/>
        </c:scaling>
        <c:delete val="0"/>
        <c:axPos val="b"/>
        <c:title>
          <c:tx>
            <c:rich>
              <a:bodyPr/>
              <a:lstStyle/>
              <a:p>
                <a:pPr>
                  <a:defRPr/>
                </a:pPr>
                <a:r>
                  <a:rPr lang="en-US" sz="1100"/>
                  <a:t>Actor's</a:t>
                </a:r>
                <a:r>
                  <a:rPr lang="en-US" sz="1100" baseline="0"/>
                  <a:t> </a:t>
                </a:r>
                <a:r>
                  <a:rPr lang="en-US" sz="1100"/>
                  <a:t>Use</a:t>
                </a:r>
                <a:r>
                  <a:rPr lang="en-US" sz="1100" baseline="0"/>
                  <a:t> of Gain Perspective Across Diary</a:t>
                </a:r>
                <a:endParaRPr lang="en-US" sz="1100"/>
              </a:p>
            </c:rich>
          </c:tx>
          <c:layout>
            <c:manualLayout>
              <c:xMode val="edge"/>
              <c:yMode val="edge"/>
              <c:x val="0.21349265856444899"/>
              <c:y val="0.92384831401410905"/>
            </c:manualLayout>
          </c:layout>
          <c:overlay val="0"/>
        </c:title>
        <c:numFmt formatCode="General" sourceLinked="1"/>
        <c:majorTickMark val="out"/>
        <c:minorTickMark val="none"/>
        <c:tickLblPos val="nextTo"/>
        <c:crossAx val="332326568"/>
        <c:crossesAt val="-30"/>
        <c:crossBetween val="midCat"/>
      </c:valAx>
      <c:valAx>
        <c:axId val="332326568"/>
        <c:scaling>
          <c:orientation val="minMax"/>
        </c:scaling>
        <c:delete val="0"/>
        <c:axPos val="l"/>
        <c:majorGridlines/>
        <c:title>
          <c:tx>
            <c:rich>
              <a:bodyPr rot="-5400000" vert="horz"/>
              <a:lstStyle/>
              <a:p>
                <a:pPr>
                  <a:defRPr/>
                </a:pPr>
                <a:r>
                  <a:rPr lang="en-US"/>
                  <a:t>Actor's</a:t>
                </a:r>
                <a:r>
                  <a:rPr lang="en-US" baseline="0"/>
                  <a:t> Daily Understanding/Appreciation</a:t>
                </a:r>
                <a:endParaRPr lang="en-US"/>
              </a:p>
            </c:rich>
          </c:tx>
          <c:overlay val="0"/>
        </c:title>
        <c:numFmt formatCode="General" sourceLinked="1"/>
        <c:majorTickMark val="out"/>
        <c:minorTickMark val="none"/>
        <c:tickLblPos val="nextTo"/>
        <c:crossAx val="332324216"/>
        <c:crosses val="autoZero"/>
        <c:crossBetween val="midCat"/>
      </c:valAx>
    </c:plotArea>
    <c:legend>
      <c:legendPos val="r"/>
      <c:layout>
        <c:manualLayout>
          <c:xMode val="edge"/>
          <c:yMode val="edge"/>
          <c:x val="0.69598606006056596"/>
          <c:y val="0.21417380342196701"/>
          <c:w val="0.30401393993943399"/>
          <c:h val="0.40828304657674602"/>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118">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3">
      <cs:styleClr val="auto"/>
    </cs:fillRef>
    <cs:effectRef idx="2">
      <a:schemeClr val="dk1"/>
    </cs:effectRef>
    <cs:fontRef idx="minor">
      <a:schemeClr val="tx1"/>
    </cs:fontRef>
  </cs:dataPoint>
  <cs:dataPoint3D>
    <cs:lnRef idx="0"/>
    <cs:fillRef idx="3">
      <cs:styleClr val="auto"/>
    </cs:fillRef>
    <cs:effectRef idx="2">
      <a:schemeClr val="dk1"/>
    </cs:effectRef>
    <cs:fontRef idx="minor">
      <a:schemeClr val="tx1"/>
    </cs:fontRef>
  </cs:dataPoint3D>
  <cs:dataPointLine>
    <cs:lnRef idx="1">
      <cs:styleClr val="auto"/>
    </cs:lnRef>
    <cs:lineWidthScale>5</cs:lineWidthScale>
    <cs:fillRef idx="0"/>
    <cs:effectRef idx="0"/>
    <cs:fontRef idx="minor">
      <a:schemeClr val="tx1"/>
    </cs:fontRef>
    <cs:spPr>
      <a:ln cap="rnd">
        <a:round/>
      </a:ln>
    </cs:spPr>
  </cs:dataPointLine>
  <cs:dataPointMarker>
    <cs:lnRef idx="1">
      <cs:styleClr val="auto"/>
    </cs:lnRef>
    <cs:fillRef idx="3">
      <cs:styleClr val="auto"/>
    </cs:fillRef>
    <cs:effectRef idx="2">
      <a:schemeClr val="dk1"/>
    </cs:effectRef>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0"/>
    <cs:fillRef idx="3">
      <a:schemeClr val="dk1">
        <a:tint val="95000"/>
      </a:schemeClr>
    </cs:fillRef>
    <cs:effectRef idx="2">
      <a:schemeClr val="dk1"/>
    </cs:effectRef>
    <cs:fontRef idx="minor">
      <a:schemeClr val="tx1"/>
    </cs:fontRef>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0"/>
    <cs:fillRef idx="3">
      <a:schemeClr val="dk1">
        <a:tint val="5000"/>
      </a:schemeClr>
    </cs:fillRef>
    <cs:effectRef idx="2">
      <a:schemeClr val="dk1"/>
    </cs:effectRef>
    <cs:fontRef idx="minor">
      <a:schemeClr val="tx1"/>
    </cs:fontRef>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35</Pages>
  <Words>3310</Words>
  <Characters>18867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Parsons</dc:creator>
  <cp:keywords/>
  <dc:description/>
  <cp:lastModifiedBy>Karen Prager</cp:lastModifiedBy>
  <cp:revision>10</cp:revision>
  <dcterms:created xsi:type="dcterms:W3CDTF">2019-06-09T21:23:00Z</dcterms:created>
  <dcterms:modified xsi:type="dcterms:W3CDTF">2019-06-10T04:11:00Z</dcterms:modified>
</cp:coreProperties>
</file>